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65E" w:rsidRDefault="00AE0A7A">
      <w:r>
        <w:rPr>
          <w:noProof/>
          <w:lang w:eastAsia="es-ES"/>
        </w:rPr>
        <mc:AlternateContent>
          <mc:Choice Requires="wps">
            <w:drawing>
              <wp:anchor distT="0" distB="0" distL="114300" distR="114300" simplePos="0" relativeHeight="6" behindDoc="0" locked="0" layoutInCell="1" allowOverlap="1">
                <wp:simplePos x="0" y="0"/>
                <wp:positionH relativeFrom="page">
                  <wp:posOffset>2386965</wp:posOffset>
                </wp:positionH>
                <wp:positionV relativeFrom="page">
                  <wp:posOffset>201930</wp:posOffset>
                </wp:positionV>
                <wp:extent cx="6069965" cy="544195"/>
                <wp:effectExtent l="0" t="0" r="0" b="0"/>
                <wp:wrapNone/>
                <wp:docPr id="1" name="Imagen1"/>
                <wp:cNvGraphicFramePr/>
                <a:graphic xmlns:a="http://schemas.openxmlformats.org/drawingml/2006/main">
                  <a:graphicData uri="http://schemas.microsoft.com/office/word/2010/wordprocessingShape">
                    <wps:wsp>
                      <wps:cNvSpPr/>
                      <wps:spPr>
                        <a:xfrm>
                          <a:off x="0" y="0"/>
                          <a:ext cx="6069240" cy="543600"/>
                        </a:xfrm>
                        <a:prstGeom prst="rect">
                          <a:avLst/>
                        </a:prstGeom>
                        <a:noFill/>
                        <a:ln>
                          <a:noFill/>
                        </a:ln>
                      </wps:spPr>
                      <wps:style>
                        <a:lnRef idx="0">
                          <a:scrgbClr r="0" g="0" b="0"/>
                        </a:lnRef>
                        <a:fillRef idx="0">
                          <a:scrgbClr r="0" g="0" b="0"/>
                        </a:fillRef>
                        <a:effectRef idx="0">
                          <a:scrgbClr r="0" g="0" b="0"/>
                        </a:effectRef>
                        <a:fontRef idx="minor"/>
                      </wps:style>
                      <wps:txbx>
                        <w:txbxContent>
                          <w:p w:rsidR="0060765E" w:rsidRDefault="0060765E">
                            <w:pPr>
                              <w:pStyle w:val="Contenidodelmarco"/>
                            </w:pPr>
                          </w:p>
                        </w:txbxContent>
                      </wps:txbx>
                      <wps:bodyPr>
                        <a:noAutofit/>
                      </wps:bodyPr>
                    </wps:wsp>
                  </a:graphicData>
                </a:graphic>
              </wp:anchor>
            </w:drawing>
          </mc:Choice>
          <mc:Fallback>
            <w:pict>
              <v:rect id="shape_0" ID="Imagen1" stroked="f" style="position:absolute;margin-left:187.95pt;margin-top:15.9pt;width:477.85pt;height:42.75pt;mso-position-horizontal-relative:page;mso-position-vertical-relative:page">
                <w10:wrap type="none"/>
                <v:fill o:detectmouseclick="t" on="false"/>
                <v:stroke color="#3465a4" joinstyle="round" endcap="flat"/>
                <v:textbox>
                  <w:txbxContent>
                    <w:p>
                      <w:pPr>
                        <w:pStyle w:val="Contenidodelmarco"/>
                        <w:spacing w:before="0" w:after="160"/>
                        <w:rPr/>
                      </w:pPr>
                      <w:r>
                        <w:rPr/>
                      </w:r>
                    </w:p>
                  </w:txbxContent>
                </v:textbox>
              </v:rect>
            </w:pict>
          </mc:Fallback>
        </mc:AlternateContent>
      </w:r>
    </w:p>
    <w:sdt>
      <w:sdtPr>
        <w:id w:val="1941211380"/>
        <w:docPartObj>
          <w:docPartGallery w:val="Cover Pages"/>
          <w:docPartUnique/>
        </w:docPartObj>
      </w:sdtPr>
      <w:sdtEndPr/>
      <w:sdtContent>
        <w:p w:rsidR="0060765E" w:rsidRDefault="00AE0A7A">
          <w:pPr>
            <w:spacing w:after="240" w:line="240" w:lineRule="auto"/>
            <w:jc w:val="center"/>
            <w:rPr>
              <w:rFonts w:ascii="Myriad Pro" w:eastAsia="+mn-ea" w:hAnsi="Myriad Pro" w:cs="+mn-cs"/>
              <w:b/>
              <w:bCs/>
              <w:color w:val="D99694"/>
              <w:sz w:val="72"/>
              <w:szCs w:val="72"/>
              <w:lang w:val="en-GB" w:eastAsia="es-ES"/>
            </w:rPr>
          </w:pPr>
          <w:r>
            <w:rPr>
              <w:rFonts w:ascii="Myriad Pro" w:hAnsi="Myriad Pro"/>
              <w:bCs/>
              <w:color w:val="002060"/>
              <w:sz w:val="56"/>
              <w:szCs w:val="56"/>
              <w:lang w:val="en-GB" w:eastAsia="es-ES"/>
            </w:rPr>
            <w:t>Co-production of public policies (PPUB) in public-private partnerships (PPP) with social and solidarity economy actors using social complementary currencies</w:t>
          </w:r>
          <w:r w:rsidR="00E577B2">
            <w:rPr>
              <w:rFonts w:ascii="Myriad Pro" w:hAnsi="Myriad Pro"/>
              <w:bCs/>
              <w:color w:val="002060"/>
              <w:sz w:val="56"/>
              <w:szCs w:val="56"/>
              <w:lang w:val="en-GB" w:eastAsia="es-ES"/>
            </w:rPr>
            <w:t xml:space="preserve"> in Spain</w:t>
          </w:r>
        </w:p>
        <w:p w:rsidR="0060765E" w:rsidRDefault="00AE0A7A">
          <w:pPr>
            <w:spacing w:line="240" w:lineRule="auto"/>
            <w:jc w:val="center"/>
            <w:rPr>
              <w:rFonts w:ascii="Myriad Pro" w:eastAsia="+mn-ea" w:hAnsi="Myriad Pro" w:cs="+mn-cs"/>
              <w:b/>
              <w:bCs/>
              <w:color w:val="D99694"/>
              <w:sz w:val="56"/>
              <w:szCs w:val="72"/>
              <w:lang w:val="en-GB" w:eastAsia="es-ES"/>
            </w:rPr>
          </w:pPr>
          <w:r>
            <w:rPr>
              <w:rFonts w:ascii="Myriad Pro" w:eastAsia="+mn-ea" w:hAnsi="Myriad Pro" w:cs="+mn-cs"/>
              <w:bCs/>
              <w:color w:val="D99694"/>
              <w:sz w:val="56"/>
              <w:szCs w:val="72"/>
              <w:lang w:val="en-GB" w:eastAsia="es-ES"/>
            </w:rPr>
            <w:t>MedTOWN Project</w:t>
          </w:r>
        </w:p>
        <w:p w:rsidR="0060765E" w:rsidRDefault="00AE0A7A">
          <w:pPr>
            <w:spacing w:after="240" w:line="240" w:lineRule="auto"/>
            <w:jc w:val="center"/>
            <w:rPr>
              <w:rFonts w:ascii="Myriad Pro" w:hAnsi="Myriad Pro"/>
              <w:b/>
              <w:szCs w:val="24"/>
              <w:lang w:val="en-GB"/>
            </w:rPr>
          </w:pPr>
          <w:r>
            <w:rPr>
              <w:rFonts w:ascii="Myriad Pro" w:eastAsia="+mn-ea" w:hAnsi="Myriad Pro" w:cs="+mn-cs"/>
              <w:bCs/>
              <w:iCs/>
              <w:color w:val="80181F"/>
              <w:sz w:val="36"/>
              <w:szCs w:val="40"/>
              <w:lang w:val="en-GB" w:eastAsia="es-ES"/>
            </w:rPr>
            <w:t>Co-production of social policies with social and solidarity economy actors</w:t>
          </w:r>
          <w:r>
            <w:rPr>
              <w:rFonts w:ascii="Myriad Pro" w:eastAsia="+mn-ea" w:hAnsi="Myriad Pro" w:cs="+mn-cs"/>
              <w:bCs/>
              <w:iCs/>
              <w:color w:val="80181F"/>
              <w:sz w:val="36"/>
              <w:szCs w:val="40"/>
              <w:lang w:val="en-GB" w:eastAsia="es-ES"/>
            </w:rPr>
            <w:br/>
            <w:t>to fight poverty, inequality and social exclusion</w:t>
          </w:r>
        </w:p>
        <w:p w:rsidR="0060765E" w:rsidRDefault="0060765E">
          <w:pPr>
            <w:spacing w:after="240"/>
            <w:jc w:val="both"/>
            <w:rPr>
              <w:rFonts w:ascii="Segoe UI" w:hAnsi="Segoe UI" w:cs="Segoe UI"/>
              <w:b/>
              <w:lang w:val="en-GB"/>
            </w:rPr>
          </w:pPr>
        </w:p>
        <w:p w:rsidR="0060765E" w:rsidRPr="00E577B2" w:rsidRDefault="00E72AFA">
          <w:pPr>
            <w:spacing w:line="240" w:lineRule="auto"/>
            <w:jc w:val="center"/>
            <w:rPr>
              <w:lang w:val="en-GB"/>
            </w:rPr>
            <w:sectPr w:rsidR="0060765E" w:rsidRPr="00E577B2">
              <w:headerReference w:type="default" r:id="rId8"/>
              <w:footerReference w:type="default" r:id="rId9"/>
              <w:pgSz w:w="16838" w:h="11906" w:orient="landscape"/>
              <w:pgMar w:top="1701" w:right="1418" w:bottom="1701" w:left="1418" w:header="709" w:footer="709" w:gutter="0"/>
              <w:cols w:space="720"/>
              <w:formProt w:val="0"/>
              <w:docGrid w:linePitch="360" w:charSpace="-2049"/>
            </w:sectPr>
          </w:pPr>
        </w:p>
        <w:bookmarkStart w:id="0" w:name="_GoBack" w:displacedByCustomXml="next"/>
        <w:bookmarkEnd w:id="0" w:displacedByCustomXml="next"/>
      </w:sdtContent>
    </w:sdt>
    <w:p w:rsidR="0060765E" w:rsidRPr="00E577B2" w:rsidRDefault="00AE0A7A">
      <w:pPr>
        <w:rPr>
          <w:rFonts w:ascii="Segoe UI" w:hAnsi="Segoe UI" w:cs="Segoe UI"/>
          <w:b/>
          <w:bCs/>
          <w:lang w:val="en-GB"/>
        </w:rPr>
      </w:pPr>
      <w:r w:rsidRPr="00E577B2">
        <w:rPr>
          <w:rFonts w:ascii="Segoe UI" w:hAnsi="Segoe UI" w:cs="Segoe UI"/>
          <w:b/>
          <w:bCs/>
          <w:lang w:val="en-GB"/>
        </w:rPr>
        <w:lastRenderedPageBreak/>
        <w:t>QUESTIONNAIRE PHASES PROJECTS AND LOCAL PARTNERS. MEDTOWN PROJECT. LOT 3.</w:t>
      </w:r>
    </w:p>
    <w:p w:rsidR="0060765E" w:rsidRPr="00E577B2" w:rsidRDefault="00AE0A7A">
      <w:pPr>
        <w:rPr>
          <w:lang w:val="en-GB"/>
        </w:rPr>
      </w:pPr>
      <w:bookmarkStart w:id="1" w:name="__DdeLink__4218_1234138861"/>
      <w:r w:rsidRPr="00E577B2">
        <w:rPr>
          <w:rFonts w:ascii="Segoe UI" w:hAnsi="Segoe UI" w:cs="Segoe UI"/>
          <w:b/>
          <w:bCs/>
          <w:u w:val="single"/>
          <w:lang w:val="en-GB"/>
        </w:rPr>
        <w:t xml:space="preserve">DEMONSTRATION ACTION. NAME: </w:t>
      </w:r>
      <w:r>
        <w:rPr>
          <w:rFonts w:ascii="Segoe UI" w:hAnsi="Segoe UI" w:cs="Segoe UI"/>
          <w:b/>
          <w:bCs/>
          <w:lang w:val="en-GB"/>
        </w:rPr>
        <w:t>Complementary Public Local Currency for the Channelling of Social Benefits to low income population</w:t>
      </w:r>
    </w:p>
    <w:p w:rsidR="0060765E" w:rsidRPr="00E577B2" w:rsidRDefault="00AE0A7A">
      <w:pPr>
        <w:rPr>
          <w:lang w:val="en-GB"/>
        </w:rPr>
      </w:pPr>
      <w:r w:rsidRPr="00E577B2">
        <w:rPr>
          <w:rFonts w:ascii="Segoe UI" w:hAnsi="Segoe UI" w:cs="Segoe UI"/>
          <w:b/>
          <w:bCs/>
          <w:u w:val="single"/>
          <w:lang w:val="en-GB"/>
        </w:rPr>
        <w:t xml:space="preserve">MUNICIPALITY, REGION AND COUNTRY </w:t>
      </w:r>
      <w:r w:rsidRPr="00E577B2">
        <w:rPr>
          <w:rFonts w:ascii="Segoe UI" w:hAnsi="Segoe UI" w:cs="Segoe UI"/>
          <w:b/>
          <w:bCs/>
          <w:lang w:val="en-GB"/>
        </w:rPr>
        <w:t>ACTION:</w:t>
      </w:r>
      <w:bookmarkEnd w:id="1"/>
      <w:r>
        <w:rPr>
          <w:rFonts w:ascii="Segoe UI" w:hAnsi="Segoe UI" w:cs="Segoe UI"/>
          <w:b/>
          <w:bCs/>
          <w:lang w:val="en-GB"/>
        </w:rPr>
        <w:t xml:space="preserve"> Seville, Andalusia, Spain</w:t>
      </w:r>
    </w:p>
    <w:p w:rsidR="0060765E" w:rsidRPr="00E577B2" w:rsidRDefault="0060765E">
      <w:pPr>
        <w:keepNext/>
        <w:rPr>
          <w:rFonts w:ascii="Segoe UI" w:hAnsi="Segoe UI" w:cs="Segoe UI"/>
          <w:b/>
          <w:bCs/>
          <w:color w:val="80181F"/>
          <w:lang w:val="en-GB"/>
        </w:rPr>
      </w:pPr>
    </w:p>
    <w:p w:rsidR="0060765E" w:rsidRPr="00E577B2" w:rsidRDefault="0060765E">
      <w:pPr>
        <w:keepNext/>
        <w:rPr>
          <w:rFonts w:ascii="Segoe UI" w:hAnsi="Segoe UI" w:cs="Segoe UI"/>
          <w:b/>
          <w:bCs/>
          <w:color w:val="80181F"/>
          <w:lang w:val="en-GB"/>
        </w:rPr>
      </w:pPr>
    </w:p>
    <w:p w:rsidR="0060765E" w:rsidRPr="00E577B2" w:rsidRDefault="00AE0A7A">
      <w:pPr>
        <w:keepNext/>
        <w:rPr>
          <w:rFonts w:ascii="Segoe UI" w:hAnsi="Segoe UI" w:cs="Segoe UI"/>
          <w:b/>
          <w:bCs/>
          <w:color w:val="80181F"/>
          <w:lang w:val="en-GB"/>
        </w:rPr>
      </w:pPr>
      <w:r w:rsidRPr="00E577B2">
        <w:rPr>
          <w:rFonts w:ascii="Segoe UI" w:hAnsi="Segoe UI" w:cs="Segoe UI"/>
          <w:b/>
          <w:bCs/>
          <w:color w:val="80181F"/>
          <w:lang w:val="en-GB"/>
        </w:rPr>
        <w:t>BRIEF DESCRIPTION OF THE CONTEXT:</w:t>
      </w:r>
    </w:p>
    <w:p w:rsidR="0060765E" w:rsidRPr="00E577B2" w:rsidRDefault="00AE0A7A">
      <w:pPr>
        <w:rPr>
          <w:lang w:val="en-GB"/>
        </w:rPr>
      </w:pPr>
      <w:r w:rsidRPr="00E577B2">
        <w:rPr>
          <w:rFonts w:ascii="Segoe UI" w:hAnsi="Segoe UI" w:cs="Segoe UI"/>
          <w:lang w:val="en-GB"/>
        </w:rPr>
        <w:t>There is no legislation that regulates as such the co-production of public policies through public-private partnerships with social economy entities through the use of social or complementary currencies.</w:t>
      </w:r>
    </w:p>
    <w:p w:rsidR="0060765E" w:rsidRPr="00E577B2" w:rsidRDefault="00AE0A7A">
      <w:pPr>
        <w:rPr>
          <w:lang w:val="en-GB"/>
        </w:rPr>
      </w:pPr>
      <w:r w:rsidRPr="00E577B2">
        <w:rPr>
          <w:rFonts w:ascii="Segoe UI" w:hAnsi="Segoe UI" w:cs="Segoe UI"/>
          <w:lang w:val="en-GB"/>
        </w:rPr>
        <w:t>Rather, the general context of PPPs has been for the management of various types of infrastructure. As a result of the Recovery, Transformation and Resilience Plan, other areas more related to the provision of strategic services in the face of current challenges have been incorporated.</w:t>
      </w:r>
    </w:p>
    <w:p w:rsidR="0060765E" w:rsidRPr="00E577B2" w:rsidRDefault="0060765E">
      <w:pPr>
        <w:rPr>
          <w:rFonts w:ascii="Segoe UI" w:hAnsi="Segoe UI" w:cs="Segoe UI"/>
          <w:b/>
          <w:bCs/>
          <w:color w:val="80181F"/>
          <w:lang w:val="en-GB"/>
        </w:rPr>
      </w:pPr>
    </w:p>
    <w:p w:rsidR="0060765E" w:rsidRPr="00E577B2" w:rsidRDefault="00AE0A7A">
      <w:pPr>
        <w:keepNext/>
        <w:rPr>
          <w:rFonts w:ascii="Segoe UI" w:hAnsi="Segoe UI" w:cs="Segoe UI"/>
          <w:b/>
          <w:bCs/>
          <w:color w:val="80181F"/>
          <w:lang w:val="en-GB"/>
        </w:rPr>
      </w:pPr>
      <w:r w:rsidRPr="00E577B2">
        <w:rPr>
          <w:rFonts w:ascii="Segoe UI" w:hAnsi="Segoe UI" w:cs="Segoe UI"/>
          <w:b/>
          <w:bCs/>
          <w:color w:val="80181F"/>
          <w:lang w:val="en-GB"/>
        </w:rPr>
        <w:t>MATRIX TO BE FILLED IN:</w:t>
      </w:r>
    </w:p>
    <w:tbl>
      <w:tblPr>
        <w:tblStyle w:val="Tablaconcuadrcula"/>
        <w:tblW w:w="14175" w:type="dxa"/>
        <w:tblInd w:w="-10" w:type="dxa"/>
        <w:tblCellMar>
          <w:top w:w="57" w:type="dxa"/>
          <w:left w:w="47" w:type="dxa"/>
          <w:bottom w:w="57" w:type="dxa"/>
          <w:right w:w="57" w:type="dxa"/>
        </w:tblCellMar>
        <w:tblLook w:val="04A0" w:firstRow="1" w:lastRow="0" w:firstColumn="1" w:lastColumn="0" w:noHBand="0" w:noVBand="1"/>
      </w:tblPr>
      <w:tblGrid>
        <w:gridCol w:w="505"/>
        <w:gridCol w:w="3250"/>
        <w:gridCol w:w="3681"/>
        <w:gridCol w:w="4238"/>
        <w:gridCol w:w="2501"/>
      </w:tblGrid>
      <w:tr w:rsidR="0060765E">
        <w:trPr>
          <w:cantSplit/>
          <w:tblHeader/>
        </w:trPr>
        <w:tc>
          <w:tcPr>
            <w:tcW w:w="490"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60765E" w:rsidRDefault="00AE0A7A">
            <w:pPr>
              <w:spacing w:after="0" w:line="240" w:lineRule="auto"/>
              <w:jc w:val="center"/>
              <w:rPr>
                <w:rFonts w:ascii="Segoe UI" w:hAnsi="Segoe UI" w:cs="Segoe UI"/>
                <w:b/>
                <w:bCs/>
                <w:lang w:val="en-GB"/>
              </w:rPr>
            </w:pPr>
            <w:r>
              <w:rPr>
                <w:rFonts w:ascii="Segoe UI" w:hAnsi="Segoe UI" w:cs="Segoe UI"/>
                <w:b/>
                <w:bCs/>
              </w:rPr>
              <w:t>NO.</w:t>
            </w:r>
          </w:p>
        </w:tc>
        <w:tc>
          <w:tcPr>
            <w:tcW w:w="2914"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60765E" w:rsidRDefault="00AE0A7A">
            <w:pPr>
              <w:spacing w:after="0" w:line="240" w:lineRule="auto"/>
              <w:rPr>
                <w:rFonts w:ascii="Segoe UI" w:hAnsi="Segoe UI" w:cs="Segoe UI"/>
                <w:b/>
                <w:bCs/>
                <w:lang w:val="en-GB"/>
              </w:rPr>
            </w:pPr>
            <w:r>
              <w:rPr>
                <w:rFonts w:ascii="Segoe UI" w:hAnsi="Segoe UI" w:cs="Segoe UI"/>
                <w:b/>
                <w:bCs/>
              </w:rPr>
              <w:t>ASPECT TO REPORT</w:t>
            </w:r>
          </w:p>
        </w:tc>
        <w:tc>
          <w:tcPr>
            <w:tcW w:w="3847"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60765E" w:rsidRDefault="00AE0A7A">
            <w:pPr>
              <w:spacing w:after="0" w:line="240" w:lineRule="auto"/>
              <w:rPr>
                <w:rFonts w:ascii="Segoe UI" w:hAnsi="Segoe UI" w:cs="Segoe UI"/>
                <w:b/>
                <w:bCs/>
                <w:lang w:val="en-GB"/>
              </w:rPr>
            </w:pPr>
            <w:r>
              <w:rPr>
                <w:rFonts w:ascii="Segoe UI" w:hAnsi="Segoe UI" w:cs="Segoe UI"/>
                <w:b/>
              </w:rPr>
              <w:t>ACTIONS</w:t>
            </w:r>
          </w:p>
        </w:tc>
        <w:tc>
          <w:tcPr>
            <w:tcW w:w="4363"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60765E" w:rsidRDefault="00AE0A7A">
            <w:pPr>
              <w:spacing w:after="0" w:line="240" w:lineRule="auto"/>
              <w:rPr>
                <w:rFonts w:ascii="Segoe UI" w:hAnsi="Segoe UI" w:cs="Segoe UI"/>
                <w:b/>
                <w:bCs/>
                <w:lang w:val="en-GB"/>
              </w:rPr>
            </w:pPr>
            <w:r>
              <w:rPr>
                <w:rFonts w:ascii="Segoe UI" w:hAnsi="Segoe UI" w:cs="Segoe UI"/>
                <w:b/>
              </w:rPr>
              <w:t>OTHER ACTIONS/CLARIFICATIONS</w:t>
            </w:r>
          </w:p>
        </w:tc>
        <w:tc>
          <w:tcPr>
            <w:tcW w:w="2561"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60765E" w:rsidRDefault="00AE0A7A">
            <w:pPr>
              <w:spacing w:after="0" w:line="240" w:lineRule="auto"/>
              <w:rPr>
                <w:rFonts w:ascii="Segoe UI" w:hAnsi="Segoe UI" w:cs="Segoe UI"/>
                <w:b/>
                <w:bCs/>
                <w:lang w:val="en-GB"/>
              </w:rPr>
            </w:pPr>
            <w:r>
              <w:rPr>
                <w:rFonts w:ascii="Segoe UI" w:hAnsi="Segoe UI" w:cs="Segoe UI"/>
                <w:b/>
              </w:rPr>
              <w:t>OTHER CLARIFICATIONS</w:t>
            </w:r>
          </w:p>
        </w:tc>
      </w:tr>
      <w:tr w:rsidR="0060765E" w:rsidRPr="005E43C3">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t>1</w:t>
            </w:r>
            <w:r>
              <w:rPr>
                <w:rStyle w:val="Ancladenotaalpie"/>
                <w:b/>
                <w:bCs/>
                <w:color w:val="FFFFFF" w:themeColor="background1"/>
                <w:lang w:val="en-GB"/>
              </w:rPr>
              <w:footnoteReference w:id="1"/>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proofErr w:type="spellStart"/>
            <w:r>
              <w:rPr>
                <w:rFonts w:ascii="Segoe UI" w:hAnsi="Segoe UI" w:cs="Segoe UI"/>
                <w:b/>
                <w:bCs/>
                <w:color w:val="80181F"/>
              </w:rPr>
              <w:t>Existing</w:t>
            </w:r>
            <w:proofErr w:type="spellEnd"/>
            <w:r>
              <w:rPr>
                <w:rFonts w:ascii="Segoe UI" w:hAnsi="Segoe UI" w:cs="Segoe UI"/>
                <w:b/>
                <w:bCs/>
                <w:color w:val="80181F"/>
              </w:rPr>
              <w:t xml:space="preserve"> </w:t>
            </w:r>
            <w:proofErr w:type="spellStart"/>
            <w:r>
              <w:rPr>
                <w:rFonts w:ascii="Segoe UI" w:hAnsi="Segoe UI" w:cs="Segoe UI"/>
                <w:b/>
                <w:bCs/>
                <w:color w:val="80181F"/>
              </w:rPr>
              <w:t>applicable</w:t>
            </w:r>
            <w:proofErr w:type="spellEnd"/>
            <w:r>
              <w:rPr>
                <w:rFonts w:ascii="Segoe UI" w:hAnsi="Segoe UI" w:cs="Segoe UI"/>
                <w:b/>
                <w:bCs/>
                <w:color w:val="80181F"/>
              </w:rPr>
              <w:t xml:space="preserve"> SSE </w:t>
            </w:r>
            <w:proofErr w:type="spellStart"/>
            <w:r>
              <w:rPr>
                <w:rFonts w:ascii="Segoe UI" w:hAnsi="Segoe UI" w:cs="Segoe UI"/>
                <w:b/>
                <w:bCs/>
                <w:color w:val="80181F"/>
              </w:rPr>
              <w:t>legislation</w:t>
            </w:r>
            <w:proofErr w:type="spellEnd"/>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E72AFA">
            <w:pPr>
              <w:widowControl w:val="0"/>
              <w:spacing w:after="0" w:line="240" w:lineRule="auto"/>
              <w:rPr>
                <w:lang w:val="en-GB"/>
              </w:rPr>
            </w:pPr>
            <w:hyperlink r:id="rId10">
              <w:r w:rsidR="00AE0A7A">
                <w:rPr>
                  <w:rStyle w:val="EnlacedeInternet"/>
                  <w:lang w:val="en-GB"/>
                </w:rPr>
                <w:t>Law 40/2015 on the Legal Regime of the Public Sector</w:t>
              </w:r>
            </w:hyperlink>
          </w:p>
          <w:p w:rsidR="0060765E" w:rsidRDefault="00E72AFA">
            <w:pPr>
              <w:widowControl w:val="0"/>
              <w:spacing w:after="0" w:line="240" w:lineRule="auto"/>
            </w:pPr>
            <w:hyperlink r:id="rId11">
              <w:r w:rsidR="00AE0A7A">
                <w:rPr>
                  <w:rStyle w:val="EnlacedeInternet"/>
                  <w:lang w:val="en-GB"/>
                </w:rPr>
                <w:t>Law 9/2017 on Public Sector Contracts</w:t>
              </w:r>
            </w:hyperlink>
          </w:p>
          <w:p w:rsidR="0060765E" w:rsidRDefault="0060765E">
            <w:pPr>
              <w:pStyle w:val="Ttulo3"/>
              <w:widowControl w:val="0"/>
              <w:rPr>
                <w:rStyle w:val="EnlacedeInternet"/>
                <w:lang w:val="en-GB"/>
              </w:rPr>
            </w:pPr>
          </w:p>
          <w:p w:rsidR="0060765E" w:rsidRDefault="0060765E">
            <w:pPr>
              <w:widowControl w:val="0"/>
              <w:spacing w:after="0" w:line="240" w:lineRule="auto"/>
              <w:jc w:val="both"/>
              <w:rPr>
                <w:rStyle w:val="EnlacedeInternet"/>
                <w:rFonts w:ascii="Segoe UI" w:eastAsia="Calibri" w:hAnsi="Segoe UI" w:cs="Calibri"/>
                <w:lang w:eastAsia="es-ES"/>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widowControl w:val="0"/>
              <w:spacing w:after="0" w:line="240" w:lineRule="auto"/>
              <w:jc w:val="both"/>
              <w:rPr>
                <w:lang w:val="en-GB"/>
              </w:rPr>
            </w:pPr>
            <w:r w:rsidRPr="00E577B2">
              <w:rPr>
                <w:rStyle w:val="EnlacedeInternet"/>
                <w:rFonts w:ascii="Segoe UI" w:eastAsia="Calibri" w:hAnsi="Segoe UI" w:cs="Calibri"/>
                <w:lang w:val="en-GB" w:eastAsia="es-ES"/>
              </w:rPr>
              <w:t>Directives of the European Parliament and of the Council 2014/23/EU and 2014/24/EU of 26 February 2014</w:t>
            </w:r>
          </w:p>
          <w:p w:rsidR="0060765E" w:rsidRPr="00E577B2" w:rsidRDefault="00AE0A7A">
            <w:pPr>
              <w:pStyle w:val="Ttulo3"/>
              <w:widowControl w:val="0"/>
              <w:rPr>
                <w:lang w:val="en-GB"/>
              </w:rPr>
            </w:pPr>
            <w:r>
              <w:rPr>
                <w:rStyle w:val="EnlacedeInternet"/>
                <w:lang w:val="en-GB"/>
              </w:rPr>
              <w:t xml:space="preserve">Royal Decree-Law 36/2020 of 30 December, approving urgent measures for the modernisation of the Public Administration </w:t>
            </w:r>
            <w:r>
              <w:rPr>
                <w:rStyle w:val="EnlacedeInternet"/>
                <w:lang w:val="en-GB"/>
              </w:rPr>
              <w:lastRenderedPageBreak/>
              <w:t>and for the implementation of the Recovery, Transformation and Resilience Plan.</w:t>
            </w:r>
          </w:p>
          <w:p w:rsidR="0060765E" w:rsidRDefault="0060765E">
            <w:pPr>
              <w:widowControl w:val="0"/>
              <w:spacing w:after="0" w:line="240" w:lineRule="auto"/>
              <w:jc w:val="both"/>
              <w:rPr>
                <w:rStyle w:val="EnlacedeInternet"/>
                <w:rFonts w:ascii="Segoe UI" w:eastAsia="Calibri" w:hAnsi="Segoe UI" w:cs="Calibri"/>
                <w:lang w:val="en-GB" w:eastAsia="es-ES"/>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spacing w:after="0" w:line="240" w:lineRule="auto"/>
              <w:rPr>
                <w:rFonts w:ascii="Segoe UI" w:hAnsi="Segoe UI" w:cs="Segoe UI"/>
                <w:lang w:val="en-GB"/>
              </w:rPr>
            </w:pPr>
            <w:r>
              <w:rPr>
                <w:rFonts w:ascii="Segoe UI" w:hAnsi="Segoe UI" w:cs="Segoe UI"/>
                <w:lang w:val="en-GB"/>
              </w:rPr>
              <w:lastRenderedPageBreak/>
              <w:t xml:space="preserve">Chapter III of Title II includes a new form of public-private partnership: the Strategic Projects for Economic Recovery and </w:t>
            </w:r>
            <w:r>
              <w:rPr>
                <w:rFonts w:ascii="Segoe UI" w:hAnsi="Segoe UI" w:cs="Segoe UI"/>
                <w:lang w:val="en-GB"/>
              </w:rPr>
              <w:lastRenderedPageBreak/>
              <w:t>Transformation (PERTES). Given the multiplier effect on the economy of mobilising resources of this dimension, public-private collaboration will be key to the implementation of the various key projects included in the Recovery, Transformation and Resilience Plan, and it is necessary to adapt the regulatory framework of public-private collaboration instruments to formulas which, while maintaining Community controls and requirements, allow more flexible and adaptive formulas to the requirements of the projects to be financed with the European Recovery Instrument.</w:t>
            </w:r>
          </w:p>
        </w:tc>
      </w:tr>
      <w:tr w:rsidR="0060765E" w:rsidRPr="005E43C3">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2</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proofErr w:type="spellStart"/>
            <w:r>
              <w:rPr>
                <w:rFonts w:ascii="Segoe UI" w:hAnsi="Segoe UI" w:cs="Segoe UI"/>
                <w:b/>
                <w:bCs/>
                <w:color w:val="80181F"/>
              </w:rPr>
              <w:t>Purpose</w:t>
            </w:r>
            <w:proofErr w:type="spellEnd"/>
            <w:r>
              <w:rPr>
                <w:rFonts w:ascii="Segoe UI" w:hAnsi="Segoe UI" w:cs="Segoe UI"/>
                <w:b/>
                <w:bCs/>
                <w:color w:val="80181F"/>
              </w:rPr>
              <w:t xml:space="preserve"> of </w:t>
            </w:r>
            <w:proofErr w:type="spellStart"/>
            <w:r>
              <w:rPr>
                <w:rFonts w:ascii="Segoe UI" w:hAnsi="Segoe UI" w:cs="Segoe UI"/>
                <w:b/>
                <w:bCs/>
                <w:color w:val="80181F"/>
              </w:rPr>
              <w:t>the</w:t>
            </w:r>
            <w:proofErr w:type="spellEnd"/>
            <w:r>
              <w:rPr>
                <w:rFonts w:ascii="Segoe UI" w:hAnsi="Segoe UI" w:cs="Segoe UI"/>
                <w:b/>
                <w:bCs/>
                <w:color w:val="80181F"/>
              </w:rPr>
              <w:t xml:space="preserve"> </w:t>
            </w:r>
            <w:proofErr w:type="spellStart"/>
            <w:r>
              <w:rPr>
                <w:rFonts w:ascii="Segoe UI" w:hAnsi="Segoe UI" w:cs="Segoe UI"/>
                <w:b/>
                <w:bCs/>
                <w:color w:val="80181F"/>
              </w:rPr>
              <w:t>regulation</w:t>
            </w:r>
            <w:proofErr w:type="spellEnd"/>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widowControl w:val="0"/>
              <w:spacing w:after="0" w:line="240" w:lineRule="auto"/>
              <w:rPr>
                <w:lang w:val="en-GB"/>
              </w:rPr>
            </w:pPr>
            <w:r>
              <w:rPr>
                <w:lang w:val="en-GB"/>
              </w:rPr>
              <w:t>Law 40/2018: this includes the different organisational models that public administrations can adopt to provide their services, the so-called public sector entities, such as</w:t>
            </w:r>
          </w:p>
          <w:p w:rsidR="0060765E" w:rsidRPr="00E577B2" w:rsidRDefault="00AE0A7A">
            <w:pPr>
              <w:widowControl w:val="0"/>
              <w:spacing w:after="0" w:line="240" w:lineRule="auto"/>
              <w:rPr>
                <w:lang w:val="en-GB"/>
              </w:rPr>
            </w:pPr>
            <w:r>
              <w:rPr>
                <w:lang w:val="en-GB"/>
              </w:rPr>
              <w:t xml:space="preserve">consortia, foundations, public business entities, autonomous bodies, independent administrative authorities or public commercial companies. </w:t>
            </w:r>
          </w:p>
          <w:p w:rsidR="0060765E" w:rsidRDefault="0060765E">
            <w:pPr>
              <w:widowControl w:val="0"/>
              <w:spacing w:after="0" w:line="240" w:lineRule="auto"/>
              <w:rPr>
                <w:lang w:val="en-GB"/>
              </w:rPr>
            </w:pPr>
          </w:p>
          <w:p w:rsidR="0060765E" w:rsidRPr="00E577B2" w:rsidRDefault="00AE0A7A">
            <w:pPr>
              <w:widowControl w:val="0"/>
              <w:spacing w:after="0" w:line="240" w:lineRule="auto"/>
              <w:rPr>
                <w:lang w:val="en-GB"/>
              </w:rPr>
            </w:pPr>
            <w:r>
              <w:rPr>
                <w:lang w:val="en-GB"/>
              </w:rPr>
              <w:t>The purpose of the LCSP (public sector procurement law)  is to regulate public sector contracting, in order to guarantee that it complies with the principles of freedom of access to tenders, publicity and transparency of procedures, and non-discrimination and equal treatment among bidders; and to ensure, in connection with the objective of budgetary stability and expenditure control, and the principle of integrity, the efficient use of funds earmarked for the execution of works, the acquisition of goods and the contracting of services by requiring the prior definition of the needs to be satisfied, the safeguarding of free competition and the selection of the most economically advantageous tender.</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lang w:val="en-GB"/>
              </w:rPr>
            </w:pPr>
            <w:r>
              <w:rPr>
                <w:rFonts w:ascii="Segoe UI" w:hAnsi="Segoe UI" w:cs="Segoe UI"/>
                <w:lang w:val="en-GB"/>
              </w:rPr>
              <w:t>The LCSP (public sector procurement law) establishes the modalities of public procurement, such as works or service contracts, works or service concession contracts, the different procedures, open, negotiated, competitive dialogue, partnership, etc.</w:t>
            </w:r>
          </w:p>
          <w:p w:rsidR="0060765E" w:rsidRDefault="00AE0A7A">
            <w:pPr>
              <w:spacing w:after="0" w:line="240" w:lineRule="auto"/>
              <w:rPr>
                <w:rFonts w:ascii="Segoe UI" w:hAnsi="Segoe UI" w:cs="Segoe UI"/>
                <w:lang w:val="en-GB"/>
              </w:rPr>
            </w:pPr>
            <w:r>
              <w:rPr>
                <w:rFonts w:ascii="Segoe UI" w:hAnsi="Segoe UI" w:cs="Segoe UI"/>
                <w:lang w:val="en-GB"/>
              </w:rPr>
              <w:t>for innovation, etc.</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lang w:val="en-GB"/>
              </w:rPr>
            </w:pPr>
            <w:r>
              <w:rPr>
                <w:rFonts w:ascii="Segoe UI" w:hAnsi="Segoe UI" w:cs="Segoe UI"/>
                <w:lang w:val="en-GB"/>
              </w:rPr>
              <w:t>The purpose of this Royal Decree-Law is to lay down the general provisions</w:t>
            </w:r>
          </w:p>
          <w:p w:rsidR="0060765E" w:rsidRDefault="00AE0A7A">
            <w:pPr>
              <w:spacing w:after="0" w:line="240" w:lineRule="auto"/>
              <w:rPr>
                <w:rFonts w:ascii="Segoe UI" w:hAnsi="Segoe UI" w:cs="Segoe UI"/>
                <w:lang w:val="en-GB"/>
              </w:rPr>
            </w:pPr>
            <w:r>
              <w:rPr>
                <w:rFonts w:ascii="Segoe UI" w:hAnsi="Segoe UI" w:cs="Segoe UI"/>
                <w:lang w:val="en-GB"/>
              </w:rPr>
              <w:t>to facilitate the programming, budgeting, management and implementation of the</w:t>
            </w:r>
          </w:p>
          <w:p w:rsidR="0060765E" w:rsidRDefault="00AE0A7A">
            <w:pPr>
              <w:spacing w:after="0" w:line="240" w:lineRule="auto"/>
              <w:rPr>
                <w:rFonts w:ascii="Segoe UI" w:hAnsi="Segoe UI" w:cs="Segoe UI"/>
                <w:lang w:val="en-GB"/>
              </w:rPr>
            </w:pPr>
            <w:r>
              <w:rPr>
                <w:rFonts w:ascii="Segoe UI" w:hAnsi="Segoe UI" w:cs="Segoe UI"/>
                <w:lang w:val="en-GB"/>
              </w:rPr>
              <w:t>actions which can be financed with European funds, in particular those coming from the European Instrument for Reconstruction and Development (EIB).</w:t>
            </w:r>
          </w:p>
          <w:p w:rsidR="0060765E" w:rsidRDefault="00AE0A7A">
            <w:pPr>
              <w:spacing w:after="0" w:line="240" w:lineRule="auto"/>
              <w:rPr>
                <w:rFonts w:ascii="Segoe UI" w:hAnsi="Segoe UI" w:cs="Segoe UI"/>
                <w:lang w:val="en-GB"/>
              </w:rPr>
            </w:pPr>
            <w:r>
              <w:rPr>
                <w:rFonts w:ascii="Segoe UI" w:hAnsi="Segoe UI" w:cs="Segoe UI"/>
                <w:lang w:val="en-GB"/>
              </w:rPr>
              <w:t>European Recovery Plan, endorsed by the European Council on 21 July 2020</w:t>
            </w:r>
          </w:p>
          <w:p w:rsidR="0060765E" w:rsidRDefault="00AE0A7A">
            <w:pPr>
              <w:spacing w:after="0" w:line="240" w:lineRule="auto"/>
              <w:rPr>
                <w:rFonts w:ascii="Segoe UI" w:hAnsi="Segoe UI" w:cs="Segoe UI"/>
                <w:lang w:val="en-GB"/>
              </w:rPr>
            </w:pPr>
            <w:r>
              <w:rPr>
                <w:rFonts w:ascii="Segoe UI" w:hAnsi="Segoe UI" w:cs="Segoe UI"/>
                <w:lang w:val="en-GB"/>
              </w:rPr>
              <w:t>with the aim of boosting economic growth and job creation, recovering and</w:t>
            </w:r>
          </w:p>
          <w:p w:rsidR="0060765E" w:rsidRDefault="00AE0A7A">
            <w:pPr>
              <w:spacing w:after="0" w:line="240" w:lineRule="auto"/>
              <w:rPr>
                <w:rFonts w:ascii="Segoe UI" w:hAnsi="Segoe UI" w:cs="Segoe UI"/>
                <w:lang w:val="en-GB"/>
              </w:rPr>
            </w:pPr>
            <w:r>
              <w:rPr>
                <w:rFonts w:ascii="Segoe UI" w:hAnsi="Segoe UI" w:cs="Segoe UI"/>
                <w:lang w:val="en-GB"/>
              </w:rPr>
              <w:t>to repair the damage of the SARS-CoV-2 pandemic crisis, and to promote a</w:t>
            </w:r>
          </w:p>
          <w:p w:rsidR="0060765E" w:rsidRDefault="00AE0A7A">
            <w:pPr>
              <w:spacing w:after="0" w:line="240" w:lineRule="auto"/>
              <w:rPr>
                <w:rFonts w:ascii="Segoe UI" w:hAnsi="Segoe UI" w:cs="Segoe UI"/>
                <w:lang w:val="en-GB"/>
              </w:rPr>
            </w:pPr>
            <w:r>
              <w:rPr>
                <w:rFonts w:ascii="Segoe UI" w:hAnsi="Segoe UI" w:cs="Segoe UI"/>
                <w:lang w:val="en-GB"/>
              </w:rPr>
              <w:lastRenderedPageBreak/>
              <w:t>process of structural transformation by boosting public and private investment</w:t>
            </w:r>
          </w:p>
          <w:p w:rsidR="0060765E" w:rsidRDefault="00AE0A7A">
            <w:pPr>
              <w:spacing w:after="0" w:line="240" w:lineRule="auto"/>
              <w:rPr>
                <w:rFonts w:ascii="Segoe UI" w:hAnsi="Segoe UI" w:cs="Segoe UI"/>
                <w:lang w:val="en-GB"/>
              </w:rPr>
            </w:pPr>
            <w:r>
              <w:rPr>
                <w:rFonts w:ascii="Segoe UI" w:hAnsi="Segoe UI" w:cs="Segoe UI"/>
                <w:lang w:val="en-GB"/>
              </w:rPr>
              <w:t>and support for the productive fabric, the acceleration of the dual ecological and digital transition and the</w:t>
            </w:r>
          </w:p>
          <w:p w:rsidR="0060765E" w:rsidRDefault="00AE0A7A">
            <w:pPr>
              <w:spacing w:after="0" w:line="240" w:lineRule="auto"/>
              <w:rPr>
                <w:rFonts w:ascii="Segoe UI" w:hAnsi="Segoe UI" w:cs="Segoe UI"/>
                <w:lang w:val="en-GB"/>
              </w:rPr>
            </w:pPr>
            <w:r>
              <w:rPr>
                <w:rFonts w:ascii="Segoe UI" w:hAnsi="Segoe UI" w:cs="Segoe UI"/>
                <w:lang w:val="en-GB"/>
              </w:rPr>
              <w:t>strengthening and enhancing resilience and economic, social and territorial cohesion in the</w:t>
            </w:r>
          </w:p>
          <w:p w:rsidR="0060765E" w:rsidRDefault="00AE0A7A">
            <w:pPr>
              <w:spacing w:after="0" w:line="240" w:lineRule="auto"/>
              <w:rPr>
                <w:rFonts w:ascii="Segoe UI" w:hAnsi="Segoe UI" w:cs="Segoe UI"/>
                <w:lang w:val="en-GB"/>
              </w:rPr>
            </w:pPr>
            <w:r>
              <w:rPr>
                <w:rFonts w:ascii="Segoe UI" w:hAnsi="Segoe UI" w:cs="Segoe UI"/>
                <w:lang w:val="en-GB"/>
              </w:rPr>
              <w:t>framework of the European single market.</w:t>
            </w:r>
          </w:p>
        </w:tc>
      </w:tr>
      <w:tr w:rsidR="0060765E" w:rsidRPr="005E43C3">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3</w:t>
            </w:r>
            <w:r>
              <w:rPr>
                <w:rStyle w:val="Ancladenotaalpie"/>
                <w:b/>
                <w:bCs/>
                <w:color w:val="FFFFFF" w:themeColor="background1"/>
                <w:lang w:val="en-GB"/>
              </w:rPr>
              <w:footnoteReference w:id="2"/>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Theoretical consideration-Definition PPUB and PPP (according to regulation)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widowControl w:val="0"/>
              <w:spacing w:after="0" w:line="240" w:lineRule="auto"/>
              <w:rPr>
                <w:lang w:val="en-GB"/>
              </w:rPr>
            </w:pPr>
            <w:r>
              <w:rPr>
                <w:lang w:val="en-GB"/>
              </w:rPr>
              <w:t>Various legal formulas for Collaborative Governance are defined.</w:t>
            </w:r>
          </w:p>
          <w:p w:rsidR="0060765E" w:rsidRDefault="00AE0A7A">
            <w:pPr>
              <w:widowControl w:val="0"/>
              <w:numPr>
                <w:ilvl w:val="0"/>
                <w:numId w:val="1"/>
              </w:numPr>
              <w:spacing w:after="0" w:line="240" w:lineRule="auto"/>
            </w:pPr>
            <w:r>
              <w:rPr>
                <w:lang w:val="en-GB"/>
              </w:rPr>
              <w:t>Competitive dialogue</w:t>
            </w:r>
          </w:p>
          <w:p w:rsidR="0060765E" w:rsidRDefault="00AE0A7A">
            <w:pPr>
              <w:widowControl w:val="0"/>
              <w:numPr>
                <w:ilvl w:val="0"/>
                <w:numId w:val="1"/>
              </w:numPr>
              <w:spacing w:after="0" w:line="240" w:lineRule="auto"/>
            </w:pPr>
            <w:r>
              <w:rPr>
                <w:lang w:val="en-GB"/>
              </w:rPr>
              <w:t>Innovation Partnership</w:t>
            </w:r>
          </w:p>
          <w:p w:rsidR="0060765E" w:rsidRDefault="00AE0A7A">
            <w:pPr>
              <w:widowControl w:val="0"/>
              <w:numPr>
                <w:ilvl w:val="0"/>
                <w:numId w:val="1"/>
              </w:numPr>
              <w:spacing w:after="0" w:line="240" w:lineRule="auto"/>
            </w:pPr>
            <w:r>
              <w:rPr>
                <w:lang w:val="en-GB"/>
              </w:rPr>
              <w:t>Negotiation</w:t>
            </w:r>
          </w:p>
          <w:p w:rsidR="0060765E" w:rsidRDefault="00AE0A7A">
            <w:pPr>
              <w:widowControl w:val="0"/>
              <w:numPr>
                <w:ilvl w:val="0"/>
                <w:numId w:val="1"/>
              </w:numPr>
              <w:spacing w:after="0" w:line="240" w:lineRule="auto"/>
            </w:pPr>
            <w:r>
              <w:rPr>
                <w:lang w:val="en-GB"/>
              </w:rPr>
              <w:t>Convention</w:t>
            </w:r>
          </w:p>
          <w:p w:rsidR="0060765E" w:rsidRDefault="00AE0A7A">
            <w:pPr>
              <w:widowControl w:val="0"/>
              <w:numPr>
                <w:ilvl w:val="0"/>
                <w:numId w:val="1"/>
              </w:numPr>
              <w:spacing w:after="0" w:line="240" w:lineRule="auto"/>
            </w:pPr>
            <w:r>
              <w:rPr>
                <w:lang w:val="en-GB"/>
              </w:rPr>
              <w:t>Mixed-capital commercial company</w:t>
            </w:r>
          </w:p>
          <w:p w:rsidR="0060765E" w:rsidRDefault="00AE0A7A">
            <w:pPr>
              <w:widowControl w:val="0"/>
              <w:numPr>
                <w:ilvl w:val="0"/>
                <w:numId w:val="1"/>
              </w:numPr>
              <w:spacing w:after="0" w:line="240" w:lineRule="auto"/>
            </w:pPr>
            <w:r>
              <w:rPr>
                <w:lang w:val="en-GB"/>
              </w:rPr>
              <w:t>Mixed capital consortium</w:t>
            </w:r>
          </w:p>
          <w:p w:rsidR="0060765E" w:rsidRDefault="00AE0A7A">
            <w:pPr>
              <w:widowControl w:val="0"/>
              <w:numPr>
                <w:ilvl w:val="0"/>
                <w:numId w:val="1"/>
              </w:numPr>
              <w:spacing w:after="0" w:line="240" w:lineRule="auto"/>
            </w:pPr>
            <w:r>
              <w:rPr>
                <w:rFonts w:ascii="Segoe UI" w:hAnsi="Segoe UI" w:cs="Segoe UI"/>
                <w:lang w:val="en-GB"/>
              </w:rPr>
              <w:lastRenderedPageBreak/>
              <w:t>Capital foundation</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lang w:val="en-GB"/>
              </w:rPr>
            </w:pPr>
            <w:r>
              <w:rPr>
                <w:lang w:val="en-GB"/>
              </w:rPr>
              <w:t>Indicate if there is no regulatory definition</w:t>
            </w:r>
          </w:p>
        </w:tc>
      </w:tr>
      <w:tr w:rsidR="0060765E" w:rsidRPr="005E43C3">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t>4</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Regulation on citizen participation in the design of public policies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widowControl w:val="0"/>
              <w:spacing w:after="0" w:line="240" w:lineRule="auto"/>
              <w:rPr>
                <w:lang w:val="en-GB"/>
              </w:rPr>
            </w:pPr>
            <w:r>
              <w:rPr>
                <w:rFonts w:ascii="Segoe UI" w:hAnsi="Segoe UI" w:cs="Segoe UI"/>
                <w:lang w:val="en-GB"/>
              </w:rPr>
              <w:t>There are different formulas for public-private partnerships, although they are not usually used at the level of public participation of citizens. Rather, they are used to regulate the private management of public resources.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r>
      <w:tr w:rsidR="0060765E" w:rsidRPr="005E43C3">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t>5</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Scope of application of the PPUB and PPP regulations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widowControl w:val="0"/>
              <w:spacing w:after="0" w:line="240" w:lineRule="auto"/>
              <w:rPr>
                <w:lang w:val="en-GB"/>
              </w:rPr>
            </w:pPr>
            <w:r>
              <w:rPr>
                <w:lang w:val="en-GB"/>
              </w:rPr>
              <w:t xml:space="preserve">Essentially management and operating concessions to private companies. </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spacing w:after="0" w:line="240" w:lineRule="auto"/>
              <w:rPr>
                <w:lang w:val="en-GB"/>
              </w:rPr>
            </w:pPr>
            <w:r>
              <w:rPr>
                <w:lang w:val="en-GB"/>
              </w:rPr>
              <w:t>The application of this Act to contracts entered into by the Autonomous Communities and the entities that make up the Local Administration, or the bodies dependent on them, as well as to contracts subsidised by any of these entities, shall be carried out under the terms provided for in the first final provision of this Act relating to the titles of competence.</w:t>
            </w:r>
          </w:p>
          <w:p w:rsidR="0060765E" w:rsidRDefault="0060765E">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60765E">
            <w:pPr>
              <w:spacing w:after="0" w:line="240" w:lineRule="auto"/>
              <w:rPr>
                <w:rFonts w:ascii="Segoe UI" w:hAnsi="Segoe UI" w:cs="Segoe UI"/>
                <w:lang w:val="en-GB"/>
              </w:rPr>
            </w:pPr>
          </w:p>
        </w:tc>
      </w:tr>
      <w:tr w:rsidR="0060765E" w:rsidRPr="005E43C3">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t>6</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PPUB and PPP stakeholders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spacing w:after="0" w:line="240" w:lineRule="auto"/>
              <w:rPr>
                <w:lang w:val="en-GB"/>
              </w:rPr>
            </w:pPr>
            <w:r>
              <w:rPr>
                <w:rFonts w:ascii="Segoe UI" w:hAnsi="Segoe UI" w:cs="Segoe UI"/>
                <w:lang w:val="en-GB"/>
              </w:rPr>
              <w:t>The following entities make up the Public Sector:</w:t>
            </w:r>
          </w:p>
          <w:p w:rsidR="0060765E" w:rsidRPr="00E577B2" w:rsidRDefault="00AE0A7A">
            <w:pPr>
              <w:pStyle w:val="Textoindependiente"/>
              <w:spacing w:after="0" w:line="240" w:lineRule="auto"/>
              <w:rPr>
                <w:lang w:val="en-GB"/>
              </w:rPr>
            </w:pPr>
            <w:r w:rsidRPr="00E577B2">
              <w:rPr>
                <w:lang w:val="en-GB"/>
              </w:rPr>
              <w:t>a) The General State Administration, the Administrations of the Autonomous Communities, the Autonomous Cities of Ceuta and Melilla and the Entities that make up the Local Administration.</w:t>
            </w:r>
          </w:p>
          <w:p w:rsidR="0060765E" w:rsidRPr="00E577B2" w:rsidRDefault="00AE0A7A">
            <w:pPr>
              <w:pStyle w:val="Textoindependiente"/>
              <w:spacing w:after="0"/>
              <w:rPr>
                <w:lang w:val="en-GB"/>
              </w:rPr>
            </w:pPr>
            <w:r w:rsidRPr="00E577B2">
              <w:rPr>
                <w:lang w:val="en-GB"/>
              </w:rPr>
              <w:t>b) The Social Security Management Entities and Common Services.</w:t>
            </w:r>
          </w:p>
          <w:p w:rsidR="0060765E" w:rsidRPr="00E577B2" w:rsidRDefault="00AE0A7A">
            <w:pPr>
              <w:pStyle w:val="Textoindependiente"/>
              <w:spacing w:after="0"/>
              <w:rPr>
                <w:lang w:val="en-GB"/>
              </w:rPr>
            </w:pPr>
            <w:r w:rsidRPr="00E577B2">
              <w:rPr>
                <w:lang w:val="en-GB"/>
              </w:rPr>
              <w:lastRenderedPageBreak/>
              <w:t>c) Autonomous bodies, public universities and independent administrative authorities.</w:t>
            </w:r>
          </w:p>
          <w:p w:rsidR="0060765E" w:rsidRPr="00E577B2" w:rsidRDefault="00AE0A7A">
            <w:pPr>
              <w:pStyle w:val="Textoindependiente"/>
              <w:spacing w:after="0"/>
              <w:rPr>
                <w:lang w:val="en-GB"/>
              </w:rPr>
            </w:pPr>
            <w:r w:rsidRPr="00E577B2">
              <w:rPr>
                <w:lang w:val="en-GB"/>
              </w:rPr>
              <w:t>d) Consortiums with their own legal personality referred to in Law 40/2015, of 1 October, on the Legal Regime of the Public Sector, and local government legislation, as well as consortiums regulated by customs legislation.</w:t>
            </w:r>
          </w:p>
          <w:p w:rsidR="0060765E" w:rsidRPr="00E577B2" w:rsidRDefault="00AE0A7A">
            <w:pPr>
              <w:pStyle w:val="Textoindependiente"/>
              <w:spacing w:after="0"/>
              <w:rPr>
                <w:lang w:val="en-GB"/>
              </w:rPr>
            </w:pPr>
            <w:r w:rsidRPr="00E577B2">
              <w:rPr>
                <w:lang w:val="en-GB"/>
              </w:rPr>
              <w:t>e) Public foundations.</w:t>
            </w:r>
          </w:p>
          <w:p w:rsidR="0060765E" w:rsidRPr="00E577B2" w:rsidRDefault="00AE0A7A">
            <w:pPr>
              <w:pStyle w:val="Textoindependiente"/>
              <w:spacing w:after="0" w:line="240" w:lineRule="auto"/>
              <w:rPr>
                <w:lang w:val="en-GB"/>
              </w:rPr>
            </w:pPr>
            <w:r w:rsidRPr="00E577B2">
              <w:rPr>
                <w:lang w:val="en-GB"/>
              </w:rPr>
              <w:t>f) Mutual Societies collaborating with the Social Security.</w:t>
            </w:r>
          </w:p>
          <w:p w:rsidR="0060765E" w:rsidRPr="00E577B2" w:rsidRDefault="00AE0A7A">
            <w:pPr>
              <w:pStyle w:val="Textoindependiente"/>
              <w:spacing w:after="0"/>
              <w:rPr>
                <w:lang w:val="en-GB"/>
              </w:rPr>
            </w:pPr>
            <w:r w:rsidRPr="00E577B2">
              <w:rPr>
                <w:lang w:val="en-GB"/>
              </w:rPr>
              <w:t>g) The Public Business Entities referred to in Law 40/2015, of 1 October, on the Legal Regime of the Public Sector, and any public law entities with their own legal personality linked to a subject belonging to the public sector or dependent on it.</w:t>
            </w:r>
          </w:p>
          <w:p w:rsidR="0060765E" w:rsidRPr="00E577B2" w:rsidRDefault="00AE0A7A">
            <w:pPr>
              <w:pStyle w:val="Textoindependiente"/>
              <w:spacing w:after="0"/>
              <w:rPr>
                <w:lang w:val="en-GB"/>
              </w:rPr>
            </w:pPr>
            <w:r w:rsidRPr="00E577B2">
              <w:rPr>
                <w:lang w:val="en-GB"/>
              </w:rPr>
              <w:t xml:space="preserve">h) Mercantile companies in whose share capital the direct or indirect participation of the entities mentioned in letters a), b), c), d), e), g) and h) of this section exceeds 50%, or in cases in which, without exceeding that </w:t>
            </w:r>
            <w:r w:rsidRPr="00E577B2">
              <w:rPr>
                <w:lang w:val="en-GB"/>
              </w:rPr>
              <w:lastRenderedPageBreak/>
              <w:t>percentage, the aforementioned entities are in the situation provided for in Article 5 of the revised text of the Securities Market Act, approved by Royal Legislative Decree 4/2015, of 23 October.</w:t>
            </w:r>
          </w:p>
          <w:p w:rsidR="0060765E" w:rsidRPr="00E577B2" w:rsidRDefault="00AE0A7A">
            <w:pPr>
              <w:pStyle w:val="Textoindependiente"/>
              <w:spacing w:after="0"/>
              <w:rPr>
                <w:lang w:val="en-GB"/>
              </w:rPr>
            </w:pPr>
            <w:r w:rsidRPr="00E577B2">
              <w:rPr>
                <w:lang w:val="en-GB"/>
              </w:rPr>
              <w:t>(i) Funds without legal personality.</w:t>
            </w:r>
          </w:p>
          <w:p w:rsidR="0060765E" w:rsidRPr="00E577B2" w:rsidRDefault="00AE0A7A">
            <w:pPr>
              <w:pStyle w:val="Textoindependiente"/>
              <w:spacing w:after="0"/>
              <w:rPr>
                <w:lang w:val="en-GB"/>
              </w:rPr>
            </w:pPr>
            <w:r w:rsidRPr="00E577B2">
              <w:rPr>
                <w:lang w:val="en-GB"/>
              </w:rPr>
              <w:t>j) Any entities with their own legal personality that have been created specifically to meet needs of general interest that are not of an industrial or commercial nature, provided that one or more subjects belonging to the public sector finance the majority of their activity, control their management, or appoint more than half of the members of their administrative, management or supervisory body.</w:t>
            </w:r>
          </w:p>
          <w:p w:rsidR="0060765E" w:rsidRPr="00E577B2" w:rsidRDefault="00AE0A7A">
            <w:pPr>
              <w:pStyle w:val="Textoindependiente"/>
              <w:spacing w:after="0"/>
              <w:rPr>
                <w:lang w:val="en-GB"/>
              </w:rPr>
            </w:pPr>
            <w:r w:rsidRPr="00E577B2">
              <w:rPr>
                <w:lang w:val="en-GB"/>
              </w:rPr>
              <w:t>k) Associations formed by the entities mentioned in the previous points.</w:t>
            </w:r>
          </w:p>
          <w:p w:rsidR="0060765E" w:rsidRPr="00E577B2" w:rsidRDefault="00AE0A7A">
            <w:pPr>
              <w:pStyle w:val="Textoindependiente"/>
              <w:spacing w:after="0"/>
              <w:rPr>
                <w:lang w:val="en-GB"/>
              </w:rPr>
            </w:pPr>
            <w:r w:rsidRPr="00E577B2">
              <w:rPr>
                <w:lang w:val="en-GB"/>
              </w:rPr>
              <w:t xml:space="preserve">l) For the purposes of this Law, the Provincial Councils and the General Assemblies of the Historical Territories of the Basque Country are also </w:t>
            </w:r>
            <w:r w:rsidRPr="00E577B2">
              <w:rPr>
                <w:lang w:val="en-GB"/>
              </w:rPr>
              <w:lastRenderedPageBreak/>
              <w:t>understood to form part of the public sector as regards their procurement activity.</w:t>
            </w:r>
          </w:p>
          <w:p w:rsidR="0060765E" w:rsidRPr="00E577B2" w:rsidRDefault="0060765E">
            <w:pPr>
              <w:spacing w:after="0" w:line="240" w:lineRule="auto"/>
              <w:rPr>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pStyle w:val="Textoindependiente"/>
              <w:spacing w:after="0" w:line="240" w:lineRule="auto"/>
              <w:rPr>
                <w:lang w:val="en-GB"/>
              </w:rPr>
            </w:pPr>
            <w:r>
              <w:rPr>
                <w:lang w:val="en-GB"/>
              </w:rPr>
              <w:lastRenderedPageBreak/>
              <w:t>The following entities shall be considered contracting authorities for the purposes of this Law:</w:t>
            </w:r>
          </w:p>
          <w:p w:rsidR="0060765E" w:rsidRPr="00E577B2" w:rsidRDefault="00AE0A7A">
            <w:pPr>
              <w:pStyle w:val="Textoindependiente"/>
              <w:spacing w:after="0"/>
              <w:rPr>
                <w:lang w:val="en-GB"/>
              </w:rPr>
            </w:pPr>
            <w:r w:rsidRPr="00E577B2">
              <w:rPr>
                <w:lang w:val="en-GB"/>
              </w:rPr>
              <w:t>a) Public Administrations.</w:t>
            </w:r>
          </w:p>
          <w:p w:rsidR="0060765E" w:rsidRPr="00E577B2" w:rsidRDefault="00AE0A7A">
            <w:pPr>
              <w:pStyle w:val="Textoindependiente"/>
              <w:spacing w:after="0"/>
              <w:rPr>
                <w:lang w:val="en-GB"/>
              </w:rPr>
            </w:pPr>
            <w:r w:rsidRPr="00E577B2">
              <w:rPr>
                <w:lang w:val="en-GB"/>
              </w:rPr>
              <w:t>b) Public foundations.</w:t>
            </w:r>
          </w:p>
          <w:p w:rsidR="0060765E" w:rsidRPr="00E577B2" w:rsidRDefault="00AE0A7A">
            <w:pPr>
              <w:pStyle w:val="Textoindependiente"/>
              <w:spacing w:after="0"/>
              <w:rPr>
                <w:lang w:val="en-GB"/>
              </w:rPr>
            </w:pPr>
            <w:r w:rsidRPr="00E577B2">
              <w:rPr>
                <w:lang w:val="en-GB"/>
              </w:rPr>
              <w:t>c) Mutual Societies collaborating with the Social Security.</w:t>
            </w:r>
          </w:p>
          <w:p w:rsidR="0060765E" w:rsidRPr="00E577B2" w:rsidRDefault="00AE0A7A">
            <w:pPr>
              <w:pStyle w:val="Textoindependiente"/>
              <w:spacing w:after="0"/>
              <w:rPr>
                <w:lang w:val="en-GB"/>
              </w:rPr>
            </w:pPr>
            <w:r w:rsidRPr="00E577B2">
              <w:rPr>
                <w:lang w:val="en-GB"/>
              </w:rPr>
              <w:t xml:space="preserve">d) all other entities having legal personality other than those referred to in the previous </w:t>
            </w:r>
            <w:r w:rsidRPr="00E577B2">
              <w:rPr>
                <w:lang w:val="en-GB"/>
              </w:rPr>
              <w:lastRenderedPageBreak/>
              <w:t>points which have been set up specifically to meet needs in the general interest other than those of an industrial or commercial nature, provided that one or more entities which must be regarded as contracting authorities in accordance with the criteria of this paragraph 3, either finance their activity for the most part, or control their management, or appoint more than half of the members of their administrative, management or supervisory body.</w:t>
            </w:r>
          </w:p>
          <w:p w:rsidR="0060765E" w:rsidRPr="00E577B2" w:rsidRDefault="00AE0A7A">
            <w:pPr>
              <w:pStyle w:val="Textoindependiente"/>
              <w:spacing w:after="0"/>
              <w:rPr>
                <w:lang w:val="en-GB"/>
              </w:rPr>
            </w:pPr>
            <w:r w:rsidRPr="00E577B2">
              <w:rPr>
                <w:lang w:val="en-GB"/>
              </w:rPr>
              <w:t>e) Associations formed by the entities referred to in the previous points.</w:t>
            </w:r>
          </w:p>
          <w:p w:rsidR="0060765E" w:rsidRDefault="0060765E">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pStyle w:val="Ttulo5"/>
              <w:rPr>
                <w:lang w:val="en-GB"/>
              </w:rPr>
            </w:pPr>
            <w:r>
              <w:rPr>
                <w:rFonts w:ascii="Segoe UI" w:hAnsi="Segoe UI" w:cs="Segoe UI"/>
                <w:lang w:val="en-GB"/>
              </w:rPr>
              <w:lastRenderedPageBreak/>
              <w:t>Article 3. Subjective scope of the LCSP (public sector procurement law)</w:t>
            </w:r>
          </w:p>
        </w:tc>
      </w:tr>
      <w:tr w:rsidR="0060765E">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7</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Existence of specific legal figures PPUB and PPP?</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spacing w:after="0" w:line="240" w:lineRule="auto"/>
              <w:rPr>
                <w:lang w:val="en-GB"/>
              </w:rPr>
            </w:pPr>
            <w:r>
              <w:rPr>
                <w:lang w:val="en-GB"/>
              </w:rPr>
              <w:t xml:space="preserve">As a result of the </w:t>
            </w:r>
            <w:r w:rsidRPr="00E577B2">
              <w:rPr>
                <w:rFonts w:eastAsia="Calibri" w:cs="Calibri"/>
                <w:lang w:val="en-GB" w:eastAsia="es-ES"/>
              </w:rPr>
              <w:t>Recovery, Transformation and Resilience Plan, specific forms of Public-Private Partnership are articulated</w:t>
            </w:r>
            <w:r>
              <w:rPr>
                <w:lang w:val="en-GB"/>
              </w:rPr>
              <w:tab/>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spacing w:after="0" w:line="240" w:lineRule="auto"/>
              <w:rPr>
                <w:lang w:val="en-GB"/>
              </w:rPr>
            </w:pPr>
            <w:r>
              <w:rPr>
                <w:rFonts w:ascii="Segoe UI" w:hAnsi="Segoe UI" w:cs="Segoe UI"/>
                <w:lang w:val="en-GB"/>
              </w:rPr>
              <w:t>Public-private partnership instruments for the implementation of the Plan</w:t>
            </w:r>
          </w:p>
          <w:p w:rsidR="0060765E" w:rsidRPr="00E577B2" w:rsidRDefault="00AE0A7A">
            <w:pPr>
              <w:spacing w:after="0" w:line="240" w:lineRule="auto"/>
              <w:rPr>
                <w:lang w:val="en-GB"/>
              </w:rPr>
            </w:pPr>
            <w:r>
              <w:rPr>
                <w:rFonts w:ascii="Segoe UI" w:hAnsi="Segoe UI" w:cs="Segoe UI"/>
                <w:lang w:val="en-GB"/>
              </w:rPr>
              <w:t>1- Groupings of people</w:t>
            </w:r>
          </w:p>
          <w:p w:rsidR="0060765E" w:rsidRPr="00E577B2" w:rsidRDefault="00AE0A7A">
            <w:pPr>
              <w:spacing w:after="0" w:line="240" w:lineRule="auto"/>
              <w:rPr>
                <w:lang w:val="en-GB"/>
              </w:rPr>
            </w:pPr>
            <w:r>
              <w:rPr>
                <w:rFonts w:ascii="Segoe UI" w:hAnsi="Segoe UI" w:cs="Segoe UI"/>
                <w:lang w:val="en-GB"/>
              </w:rPr>
              <w:t>natural or legal persons, public or private, without legal personality</w:t>
            </w:r>
          </w:p>
          <w:p w:rsidR="0060765E" w:rsidRDefault="00AE0A7A">
            <w:pPr>
              <w:spacing w:after="0" w:line="240" w:lineRule="auto"/>
            </w:pPr>
            <w:r>
              <w:rPr>
                <w:rFonts w:ascii="Segoe UI" w:hAnsi="Segoe UI" w:cs="Segoe UI"/>
                <w:lang w:val="en-GB"/>
              </w:rPr>
              <w:t>2- Consortia</w:t>
            </w:r>
          </w:p>
          <w:p w:rsidR="0060765E" w:rsidRDefault="00AE0A7A">
            <w:pPr>
              <w:spacing w:after="0" w:line="240" w:lineRule="auto"/>
            </w:pPr>
            <w:r>
              <w:rPr>
                <w:rFonts w:ascii="Segoe UI" w:hAnsi="Segoe UI" w:cs="Segoe UI"/>
                <w:lang w:val="en-GB"/>
              </w:rPr>
              <w:t>3- Mixed Economy Companies</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lang w:val="en-GB"/>
              </w:rPr>
            </w:pPr>
            <w:r>
              <w:rPr>
                <w:rFonts w:ascii="Segoe UI" w:hAnsi="Segoe UI" w:cs="Segoe UI"/>
                <w:lang w:val="en-GB"/>
              </w:rPr>
              <w:t>Chapter VII</w:t>
            </w:r>
          </w:p>
        </w:tc>
      </w:tr>
      <w:tr w:rsidR="0060765E" w:rsidRPr="005E43C3">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t>8</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Key figures for the creation of PPUBs and PPPs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widowControl w:val="0"/>
              <w:spacing w:after="0" w:line="240" w:lineRule="auto"/>
              <w:rPr>
                <w:lang w:val="en-GB"/>
              </w:rPr>
            </w:pPr>
            <w:r>
              <w:rPr>
                <w:lang w:val="en-GB"/>
              </w:rPr>
              <w:t>Typology of Contracts:</w:t>
            </w:r>
          </w:p>
          <w:p w:rsidR="0060765E" w:rsidRPr="00E577B2" w:rsidRDefault="00AE0A7A">
            <w:pPr>
              <w:widowControl w:val="0"/>
              <w:spacing w:after="0" w:line="240" w:lineRule="auto"/>
              <w:rPr>
                <w:lang w:val="en-GB"/>
              </w:rPr>
            </w:pPr>
            <w:r>
              <w:rPr>
                <w:lang w:val="en-GB"/>
              </w:rPr>
              <w:t>-Work contracts</w:t>
            </w:r>
          </w:p>
          <w:p w:rsidR="0060765E" w:rsidRPr="00E577B2" w:rsidRDefault="00AE0A7A">
            <w:pPr>
              <w:widowControl w:val="0"/>
              <w:spacing w:after="0" w:line="240" w:lineRule="auto"/>
              <w:rPr>
                <w:lang w:val="en-GB"/>
              </w:rPr>
            </w:pPr>
            <w:r>
              <w:rPr>
                <w:lang w:val="en-GB"/>
              </w:rPr>
              <w:t>-Work and service contracts</w:t>
            </w:r>
          </w:p>
          <w:p w:rsidR="0060765E" w:rsidRPr="00E577B2" w:rsidRDefault="00AE0A7A">
            <w:pPr>
              <w:widowControl w:val="0"/>
              <w:spacing w:after="0" w:line="240" w:lineRule="auto"/>
              <w:rPr>
                <w:lang w:val="en-GB"/>
              </w:rPr>
            </w:pPr>
            <w:r>
              <w:rPr>
                <w:lang w:val="en-GB"/>
              </w:rPr>
              <w:t>-Supply contracts</w:t>
            </w:r>
          </w:p>
          <w:p w:rsidR="0060765E" w:rsidRPr="00E577B2" w:rsidRDefault="00AE0A7A">
            <w:pPr>
              <w:widowControl w:val="0"/>
              <w:spacing w:after="0" w:line="240" w:lineRule="auto"/>
              <w:rPr>
                <w:lang w:val="en-GB"/>
              </w:rPr>
            </w:pPr>
            <w:r>
              <w:rPr>
                <w:lang w:val="en-GB"/>
              </w:rPr>
              <w:t>-Service Contracts</w:t>
            </w:r>
          </w:p>
          <w:p w:rsidR="0060765E" w:rsidRPr="00E577B2" w:rsidRDefault="00AE0A7A">
            <w:pPr>
              <w:widowControl w:val="0"/>
              <w:spacing w:after="0" w:line="240" w:lineRule="auto"/>
              <w:rPr>
                <w:lang w:val="en-GB"/>
              </w:rPr>
            </w:pPr>
            <w:r>
              <w:rPr>
                <w:lang w:val="en-GB"/>
              </w:rPr>
              <w:t>-Mixed contracts</w:t>
            </w:r>
          </w:p>
          <w:p w:rsidR="0060765E" w:rsidRDefault="0060765E">
            <w:pPr>
              <w:widowControl w:val="0"/>
              <w:spacing w:after="0" w:line="240" w:lineRule="auto"/>
              <w:rPr>
                <w:lang w:val="en-GB"/>
              </w:rPr>
            </w:pPr>
          </w:p>
          <w:p w:rsidR="0060765E" w:rsidRPr="00E577B2" w:rsidRDefault="00AE0A7A">
            <w:pPr>
              <w:widowControl w:val="0"/>
              <w:spacing w:after="0" w:line="240" w:lineRule="auto"/>
              <w:rPr>
                <w:lang w:val="en-GB"/>
              </w:rPr>
            </w:pPr>
            <w:r>
              <w:rPr>
                <w:lang w:val="en-GB"/>
              </w:rPr>
              <w:t>Award typologies</w:t>
            </w:r>
          </w:p>
          <w:p w:rsidR="0060765E" w:rsidRPr="00E577B2" w:rsidRDefault="00AE0A7A">
            <w:pPr>
              <w:widowControl w:val="0"/>
              <w:spacing w:after="0" w:line="240" w:lineRule="auto"/>
              <w:rPr>
                <w:lang w:val="en-GB"/>
              </w:rPr>
            </w:pPr>
            <w:r>
              <w:rPr>
                <w:lang w:val="en-GB"/>
              </w:rPr>
              <w:t>-Open procedure</w:t>
            </w:r>
          </w:p>
          <w:p w:rsidR="0060765E" w:rsidRPr="00E577B2" w:rsidRDefault="00AE0A7A">
            <w:pPr>
              <w:widowControl w:val="0"/>
              <w:spacing w:after="0" w:line="240" w:lineRule="auto"/>
              <w:rPr>
                <w:lang w:val="en-GB"/>
              </w:rPr>
            </w:pPr>
            <w:r>
              <w:rPr>
                <w:lang w:val="en-GB"/>
              </w:rPr>
              <w:t>-Restricted procedure</w:t>
            </w:r>
          </w:p>
          <w:p w:rsidR="0060765E" w:rsidRPr="00E577B2" w:rsidRDefault="00AE0A7A">
            <w:pPr>
              <w:widowControl w:val="0"/>
              <w:spacing w:after="0" w:line="240" w:lineRule="auto"/>
              <w:rPr>
                <w:lang w:val="en-GB"/>
              </w:rPr>
            </w:pPr>
            <w:r>
              <w:rPr>
                <w:lang w:val="en-GB"/>
              </w:rPr>
              <w:t>-Procedure with negotiation</w:t>
            </w:r>
          </w:p>
          <w:p w:rsidR="0060765E" w:rsidRPr="00E577B2" w:rsidRDefault="00AE0A7A">
            <w:pPr>
              <w:widowControl w:val="0"/>
              <w:spacing w:after="0" w:line="240" w:lineRule="auto"/>
              <w:rPr>
                <w:lang w:val="en-GB"/>
              </w:rPr>
            </w:pPr>
            <w:r>
              <w:rPr>
                <w:lang w:val="en-GB"/>
              </w:rPr>
              <w:t>-Competitive Dialogues</w:t>
            </w:r>
          </w:p>
          <w:p w:rsidR="0060765E" w:rsidRPr="00E577B2" w:rsidRDefault="00AE0A7A">
            <w:pPr>
              <w:widowControl w:val="0"/>
              <w:spacing w:after="0" w:line="240" w:lineRule="auto"/>
              <w:rPr>
                <w:lang w:val="en-GB"/>
              </w:rPr>
            </w:pPr>
            <w:r>
              <w:rPr>
                <w:lang w:val="en-GB"/>
              </w:rPr>
              <w:t>-Innovation partnership process</w:t>
            </w:r>
          </w:p>
          <w:p w:rsidR="0060765E" w:rsidRDefault="00AE0A7A">
            <w:pPr>
              <w:widowControl w:val="0"/>
              <w:spacing w:after="0" w:line="240" w:lineRule="auto"/>
            </w:pPr>
            <w:r>
              <w:rPr>
                <w:lang w:val="en-GB"/>
              </w:rPr>
              <w:t>- Project competitions</w:t>
            </w:r>
          </w:p>
          <w:p w:rsidR="0060765E" w:rsidRDefault="00AE0A7A">
            <w:pPr>
              <w:widowControl w:val="0"/>
              <w:spacing w:after="0" w:line="240" w:lineRule="auto"/>
            </w:pPr>
            <w:r>
              <w:rPr>
                <w:lang w:val="en-GB"/>
              </w:rPr>
              <w:t>- Preliminary market consultations</w:t>
            </w:r>
          </w:p>
          <w:p w:rsidR="0060765E" w:rsidRDefault="0060765E">
            <w:pPr>
              <w:widowControl w:val="0"/>
              <w:spacing w:after="0" w:line="240" w:lineRule="auto"/>
              <w:rPr>
                <w:lang w:val="en-GB"/>
              </w:rPr>
            </w:pPr>
          </w:p>
          <w:p w:rsidR="0060765E" w:rsidRDefault="0060765E">
            <w:pPr>
              <w:widowControl w:val="0"/>
              <w:spacing w:after="0" w:line="240" w:lineRule="auto"/>
              <w:rPr>
                <w:rFonts w:ascii="Segoe UI" w:hAnsi="Segoe UI" w:cs="Segoe UI"/>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widowControl w:val="0"/>
              <w:spacing w:after="0" w:line="240" w:lineRule="auto"/>
              <w:rPr>
                <w:lang w:val="en-GB"/>
              </w:rPr>
            </w:pPr>
            <w:r>
              <w:rPr>
                <w:lang w:val="en-GB"/>
              </w:rPr>
              <w:t>Social and environmental clauses are also included, criteria that can be assessed for the awarding of contracts that are relevant for the Social Economy.</w:t>
            </w:r>
          </w:p>
          <w:p w:rsidR="0060765E" w:rsidRDefault="0060765E">
            <w:pPr>
              <w:widowControl w:val="0"/>
              <w:spacing w:after="0" w:line="240" w:lineRule="auto"/>
              <w:rPr>
                <w:lang w:val="en-GB"/>
              </w:rPr>
            </w:pPr>
          </w:p>
          <w:p w:rsidR="0060765E" w:rsidRDefault="00AE0A7A">
            <w:pPr>
              <w:widowControl w:val="0"/>
              <w:spacing w:after="0" w:line="240" w:lineRule="auto"/>
              <w:rPr>
                <w:rFonts w:ascii="Segoe UI" w:hAnsi="Segoe UI" w:cs="Segoe UI"/>
                <w:lang w:val="en-GB"/>
              </w:rPr>
            </w:pPr>
            <w:r>
              <w:rPr>
                <w:rFonts w:ascii="Segoe UI" w:hAnsi="Segoe UI" w:cs="Segoe UI"/>
                <w:lang w:val="en-GB"/>
              </w:rPr>
              <w:t>There are also contract reservations and contract reservations for certain types of services and entities. There are contract and market reservations for two types of Social Economy entities, Special Employment Centres and Insertion Companies.</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r>
      <w:tr w:rsidR="0060765E">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9</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Administration-legislative body responsible PPUB and PPP</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pPr>
            <w:r>
              <w:rPr>
                <w:lang w:val="en-GB"/>
              </w:rPr>
              <w:t>General cuts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r>
      <w:tr w:rsidR="0060765E" w:rsidRPr="005E43C3">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t>10</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Administration-Competent executive body PPUB and PPP</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widowControl w:val="0"/>
              <w:spacing w:after="0" w:line="240" w:lineRule="auto"/>
              <w:rPr>
                <w:lang w:val="en-GB"/>
              </w:rPr>
            </w:pPr>
            <w:r>
              <w:rPr>
                <w:lang w:val="en-GB"/>
              </w:rPr>
              <w:t>Social and environmental clauses are also included.</w:t>
            </w:r>
          </w:p>
          <w:p w:rsidR="0060765E" w:rsidRDefault="0060765E">
            <w:pPr>
              <w:widowControl w:val="0"/>
              <w:spacing w:after="0" w:line="240" w:lineRule="auto"/>
              <w:rPr>
                <w:lang w:val="en-GB"/>
              </w:rPr>
            </w:pPr>
          </w:p>
          <w:p w:rsidR="0060765E" w:rsidRPr="00E577B2" w:rsidRDefault="00AE0A7A">
            <w:pPr>
              <w:widowControl w:val="0"/>
              <w:spacing w:after="0" w:line="240" w:lineRule="auto"/>
              <w:rPr>
                <w:lang w:val="en-GB"/>
              </w:rPr>
            </w:pPr>
            <w:r>
              <w:rPr>
                <w:rFonts w:ascii="Segoe UI" w:hAnsi="Segoe UI" w:cs="Segoe UI"/>
                <w:lang w:val="en-GB"/>
              </w:rPr>
              <w:t>There are also contract reservations and contract reservations for certain types of services and entities.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lang w:val="en-GB"/>
              </w:rPr>
            </w:pPr>
            <w:r>
              <w:rPr>
                <w:rFonts w:ascii="Segoe UI" w:hAnsi="Segoe UI" w:cs="Segoe UI"/>
                <w:lang w:val="en-GB"/>
              </w:rPr>
              <w:t>In the case of public works concessions and service concessions, the administration shall designate a person to act in the general interest, to obtain and verify compliance with the concessionaire's obligations, especially with regard to the quality of the service or work provided.</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r>
      <w:tr w:rsidR="0060765E">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t>11</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Administration-Competent control body PPUB and PPP</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spacing w:after="0" w:line="240" w:lineRule="auto"/>
              <w:rPr>
                <w:lang w:val="en-GB"/>
              </w:rPr>
            </w:pPr>
            <w:r>
              <w:rPr>
                <w:rFonts w:ascii="Segoe UI" w:hAnsi="Segoe UI" w:cs="Segoe UI"/>
                <w:lang w:val="en-GB"/>
              </w:rPr>
              <w:t>Consultative bodies</w:t>
            </w:r>
          </w:p>
          <w:p w:rsidR="0060765E" w:rsidRPr="00E577B2" w:rsidRDefault="00AE0A7A">
            <w:pPr>
              <w:spacing w:after="0" w:line="240" w:lineRule="auto"/>
              <w:rPr>
                <w:lang w:val="en-GB"/>
              </w:rPr>
            </w:pPr>
            <w:r>
              <w:rPr>
                <w:rFonts w:ascii="Segoe UI" w:hAnsi="Segoe UI" w:cs="Segoe UI"/>
                <w:lang w:val="en-GB"/>
              </w:rPr>
              <w:t>- State Public Procurement Advisory Board</w:t>
            </w:r>
          </w:p>
          <w:p w:rsidR="0060765E" w:rsidRPr="00E577B2" w:rsidRDefault="00AE0A7A">
            <w:pPr>
              <w:spacing w:after="0" w:line="240" w:lineRule="auto"/>
              <w:rPr>
                <w:lang w:val="en-GB"/>
              </w:rPr>
            </w:pPr>
            <w:r>
              <w:rPr>
                <w:rFonts w:ascii="Segoe UI" w:hAnsi="Segoe UI" w:cs="Segoe UI"/>
                <w:lang w:val="en-GB"/>
              </w:rPr>
              <w:t>- Cooperation Committee on Public Procurement</w:t>
            </w:r>
          </w:p>
          <w:p w:rsidR="0060765E" w:rsidRPr="00E577B2" w:rsidRDefault="00AE0A7A">
            <w:pPr>
              <w:spacing w:after="0" w:line="240" w:lineRule="auto"/>
              <w:rPr>
                <w:lang w:val="en-GB"/>
              </w:rPr>
            </w:pPr>
            <w:r>
              <w:rPr>
                <w:rFonts w:ascii="Segoe UI" w:hAnsi="Segoe UI" w:cs="Segoe UI"/>
                <w:lang w:val="en-GB"/>
              </w:rPr>
              <w:t>- Consultative bodies in the ACs</w:t>
            </w:r>
          </w:p>
          <w:p w:rsidR="0060765E" w:rsidRPr="00E577B2" w:rsidRDefault="00AE0A7A">
            <w:pPr>
              <w:spacing w:after="0" w:line="240" w:lineRule="auto"/>
              <w:rPr>
                <w:lang w:val="en-GB"/>
              </w:rPr>
            </w:pPr>
            <w:r>
              <w:rPr>
                <w:rFonts w:ascii="Segoe UI" w:hAnsi="Segoe UI" w:cs="Segoe UI"/>
                <w:lang w:val="en-GB"/>
              </w:rPr>
              <w:t>- Independent Office for Regulation and Oversight of Recruitment</w:t>
            </w:r>
          </w:p>
          <w:p w:rsidR="0060765E" w:rsidRDefault="00AE0A7A">
            <w:pPr>
              <w:spacing w:after="0" w:line="240" w:lineRule="auto"/>
            </w:pPr>
            <w:r>
              <w:rPr>
                <w:rFonts w:ascii="Segoe UI" w:hAnsi="Segoe UI" w:cs="Segoe UI"/>
                <w:lang w:val="en-GB"/>
              </w:rPr>
              <w:t>- National Recruitment Office</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r>
      <w:tr w:rsidR="0060765E">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t>12</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Certifications/registration of PPUB and PPP actors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pStyle w:val="Textoindependiente"/>
              <w:spacing w:after="0" w:line="240" w:lineRule="auto"/>
              <w:rPr>
                <w:lang w:val="en-GB"/>
              </w:rPr>
            </w:pPr>
            <w:r>
              <w:rPr>
                <w:rFonts w:ascii="Segoe UI" w:hAnsi="Segoe UI" w:cs="Segoe UI"/>
                <w:lang w:val="en-GB"/>
              </w:rPr>
              <w:t xml:space="preserve">The resolutions relating to the classification of companies adopted by the Classification Commissions of the State Public Procurement Advisory Board shall be registered ex officio in the Official Register of </w:t>
            </w:r>
            <w:r>
              <w:rPr>
                <w:rFonts w:ascii="Segoe UI" w:hAnsi="Segoe UI" w:cs="Segoe UI"/>
                <w:lang w:val="en-GB"/>
              </w:rPr>
              <w:lastRenderedPageBreak/>
              <w:t>Tenderers and Classified Companies in the Public Sector.</w:t>
            </w:r>
          </w:p>
          <w:p w:rsidR="0060765E" w:rsidRPr="00E577B2" w:rsidRDefault="00AE0A7A">
            <w:pPr>
              <w:pStyle w:val="Textoindependiente"/>
              <w:spacing w:after="0"/>
              <w:rPr>
                <w:lang w:val="en-GB"/>
              </w:rPr>
            </w:pPr>
            <w:r w:rsidRPr="00E577B2">
              <w:rPr>
                <w:lang w:val="en-GB"/>
              </w:rPr>
              <w:t>Resolutions relating to the classification of companies adopted by the competent bodies of the Autonomous Communities that have assumed this competence shall be registered ex officio in the Register of Tenderers of the respective Autonomous Community, if it has such a Register, and communicated by the body that adopted them to the Official Register of Tenderers and Classified Companies in the Public Sector for their registration.</w:t>
            </w:r>
          </w:p>
          <w:p w:rsidR="0060765E" w:rsidRDefault="0060765E">
            <w:pPr>
              <w:spacing w:after="0" w:line="240" w:lineRule="auto"/>
              <w:rPr>
                <w:rFonts w:ascii="Segoe UI" w:hAnsi="Segoe UI" w:cs="Segoe UI"/>
                <w:lang w:val="en-GB"/>
              </w:rPr>
            </w:pPr>
          </w:p>
          <w:p w:rsidR="0060765E" w:rsidRDefault="0060765E">
            <w:pPr>
              <w:spacing w:after="0" w:line="240" w:lineRule="auto"/>
              <w:rPr>
                <w:rFonts w:ascii="Segoe UI" w:hAnsi="Segoe UI" w:cs="Segoe UI"/>
                <w:lang w:val="en-GB"/>
              </w:rPr>
            </w:pPr>
          </w:p>
          <w:p w:rsidR="0060765E" w:rsidRDefault="00AE0A7A">
            <w:pPr>
              <w:spacing w:after="0" w:line="240" w:lineRule="auto"/>
              <w:rPr>
                <w:rFonts w:ascii="Segoe UI" w:hAnsi="Segoe UI" w:cs="Segoe UI"/>
                <w:lang w:val="en-GB"/>
              </w:rPr>
            </w:pPr>
            <w:r>
              <w:rPr>
                <w:rFonts w:ascii="Segoe UI" w:hAnsi="Segoe UI" w:cs="Segoe UI"/>
                <w:lang w:val="en-GB"/>
              </w:rPr>
              <w:t>Decisions relating to the classification of companies shall be taken, with general effectiveness vis-à-vis all contracting bodies, by the Classification Committees of the State Public Procurement Advisory Board. These decisions may be subject to appeal to the Minister of Finance and the Civil Service.</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spacing w:after="0" w:line="240" w:lineRule="auto"/>
              <w:rPr>
                <w:lang w:val="en-GB"/>
              </w:rPr>
            </w:pPr>
            <w:r>
              <w:rPr>
                <w:lang w:val="en-GB"/>
              </w:rPr>
              <w:lastRenderedPageBreak/>
              <w:t xml:space="preserve"> Classification of companies according to CPV and type of contract and contract value</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lang w:val="en-GB"/>
              </w:rPr>
            </w:pPr>
            <w:r>
              <w:rPr>
                <w:rFonts w:ascii="Segoe UI" w:hAnsi="Segoe UI" w:cs="Segoe UI"/>
                <w:lang w:val="en-GB"/>
              </w:rPr>
              <w:t>The Ministry of Finance shall, by ministerial order, establish and put into operation</w:t>
            </w:r>
          </w:p>
          <w:p w:rsidR="0060765E" w:rsidRDefault="00AE0A7A">
            <w:pPr>
              <w:spacing w:after="0" w:line="240" w:lineRule="auto"/>
              <w:rPr>
                <w:rFonts w:ascii="Segoe UI" w:hAnsi="Segoe UI" w:cs="Segoe UI"/>
                <w:lang w:val="en-GB"/>
              </w:rPr>
            </w:pPr>
            <w:r>
              <w:rPr>
                <w:rFonts w:ascii="Segoe UI" w:hAnsi="Segoe UI" w:cs="Segoe UI"/>
                <w:lang w:val="en-GB"/>
              </w:rPr>
              <w:lastRenderedPageBreak/>
              <w:t>the State Register of entities interested in the Strategic Projects for the</w:t>
            </w:r>
          </w:p>
          <w:p w:rsidR="0060765E" w:rsidRDefault="00AE0A7A">
            <w:pPr>
              <w:spacing w:after="0" w:line="240" w:lineRule="auto"/>
              <w:rPr>
                <w:rFonts w:ascii="Segoe UI" w:hAnsi="Segoe UI" w:cs="Segoe UI"/>
                <w:lang w:val="en-GB"/>
              </w:rPr>
            </w:pPr>
            <w:r>
              <w:rPr>
                <w:rFonts w:ascii="Segoe UI" w:hAnsi="Segoe UI" w:cs="Segoe UI"/>
                <w:lang w:val="en-GB"/>
              </w:rPr>
              <w:t>Economic Recovery and Transformation.</w:t>
            </w:r>
          </w:p>
        </w:tc>
      </w:tr>
      <w:tr w:rsidR="0060765E" w:rsidRPr="005E43C3">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13</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Measures to promote or encourage PPUB and PPPs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spacing w:after="0" w:line="240" w:lineRule="auto"/>
              <w:rPr>
                <w:lang w:val="en-GB"/>
              </w:rPr>
            </w:pPr>
            <w:r>
              <w:rPr>
                <w:rFonts w:ascii="Segoe UI" w:hAnsi="Segoe UI" w:cs="Segoe UI"/>
                <w:lang w:val="en-GB"/>
              </w:rPr>
              <w:t>Within the framework of the RTR Plan, the simplification of the processing of administrative agreements is incorporated, with development in the second final provision, which includes the structural modifications made in Law 40/2015, of 1 October, on the Legal Regime of the Public Sector.</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pStyle w:val="Textoindependiente"/>
              <w:spacing w:after="0" w:line="240" w:lineRule="auto"/>
              <w:rPr>
                <w:lang w:val="en-GB"/>
              </w:rPr>
            </w:pPr>
            <w:r>
              <w:rPr>
                <w:rFonts w:ascii="Segoe UI" w:hAnsi="Segoe UI" w:cs="Segoe UI"/>
                <w:lang w:val="en-GB"/>
              </w:rPr>
              <w:t>One of the advantages of the use of agreements in the management of the European Recovery Instrument is that they allow the actions required for the fulfilment of general interest objectives to be articulated through entities that collaborate with the Administration, whose procedures are much more agile.</w:t>
            </w:r>
          </w:p>
          <w:p w:rsidR="0060765E" w:rsidRPr="00E577B2" w:rsidRDefault="00AE0A7A">
            <w:pPr>
              <w:pStyle w:val="Textoindependiente"/>
              <w:spacing w:after="0"/>
              <w:rPr>
                <w:lang w:val="en-GB"/>
              </w:rPr>
            </w:pPr>
            <w:r w:rsidRPr="00E577B2">
              <w:rPr>
                <w:lang w:val="en-GB"/>
              </w:rPr>
              <w:t>In the proposed reform of the legal regime for administrative agreements, the aim has been to make the processing of these agreements more agile, eliminating those formalities that are possible.</w:t>
            </w:r>
          </w:p>
          <w:p w:rsidR="0060765E" w:rsidRPr="00E577B2" w:rsidRDefault="00AE0A7A">
            <w:pPr>
              <w:pStyle w:val="Textoindependiente"/>
              <w:spacing w:after="0"/>
              <w:rPr>
                <w:lang w:val="en-GB"/>
              </w:rPr>
            </w:pPr>
            <w:r w:rsidRPr="00E577B2">
              <w:rPr>
                <w:lang w:val="en-GB"/>
              </w:rPr>
              <w:lastRenderedPageBreak/>
              <w:t>It is also possible to process in advance the files of agreements to be executed in the following financial year or subsequent years, which may go as far as the formalisation phase, provided that payment is delayed until the following financial year.</w:t>
            </w:r>
          </w:p>
          <w:p w:rsidR="0060765E" w:rsidRPr="00E577B2" w:rsidRDefault="00AE0A7A">
            <w:pPr>
              <w:pStyle w:val="Textoindependiente"/>
              <w:spacing w:after="0"/>
              <w:rPr>
                <w:lang w:val="en-GB"/>
              </w:rPr>
            </w:pPr>
            <w:r w:rsidRPr="00E577B2">
              <w:rPr>
                <w:lang w:val="en-GB"/>
              </w:rPr>
              <w:t>It also provides for the possibility of receiving advances for preparatory operations that are necessary to carry out the actions financed, up to a limit of fifty percent of the total amount to be received.</w:t>
            </w:r>
          </w:p>
          <w:p w:rsidR="0060765E" w:rsidRPr="00E577B2" w:rsidRDefault="00AE0A7A">
            <w:pPr>
              <w:pStyle w:val="Textoindependiente"/>
              <w:spacing w:after="0"/>
              <w:rPr>
                <w:lang w:val="en-GB"/>
              </w:rPr>
            </w:pPr>
            <w:r w:rsidRPr="00E577B2">
              <w:rPr>
                <w:lang w:val="en-GB"/>
              </w:rPr>
              <w:t xml:space="preserve">Finally, the maximum duration of the administrative agreements has been lengthened to adapt it to </w:t>
            </w:r>
            <w:r w:rsidRPr="00E577B2">
              <w:rPr>
                <w:lang w:val="en-GB"/>
              </w:rPr>
              <w:lastRenderedPageBreak/>
              <w:t>the temporary needs involved in European Recovery Facility projects.</w:t>
            </w:r>
          </w:p>
          <w:p w:rsidR="0060765E" w:rsidRDefault="0060765E">
            <w:pPr>
              <w:spacing w:after="0" w:line="240" w:lineRule="auto"/>
              <w:rPr>
                <w:lang w:val="en-GB"/>
              </w:rPr>
            </w:pPr>
          </w:p>
        </w:tc>
      </w:tr>
      <w:tr w:rsidR="0060765E" w:rsidRPr="005E43C3">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14</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Other legislation related to PPUB and PPPs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r>
      <w:tr w:rsidR="0060765E" w:rsidRPr="005E43C3">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t>15</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Possibility to create new PPUB and PPP regulations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spacing w:after="0" w:line="240" w:lineRule="auto"/>
              <w:rPr>
                <w:lang w:val="en-GB"/>
              </w:rPr>
            </w:pPr>
            <w:r>
              <w:rPr>
                <w:rFonts w:ascii="Segoe UI" w:hAnsi="Segoe UI" w:cs="Segoe UI"/>
                <w:lang w:val="en-GB"/>
              </w:rPr>
              <w:t>The whole regulatory development of the RTR Plan is being elaborated according to the different areas of work through the PERTES.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spacing w:after="0" w:line="240" w:lineRule="auto"/>
              <w:rPr>
                <w:lang w:val="en-GB"/>
              </w:rPr>
            </w:pPr>
            <w:r>
              <w:rPr>
                <w:rFonts w:ascii="Segoe UI" w:hAnsi="Segoe UI" w:cs="Segoe UI"/>
                <w:lang w:val="en-GB"/>
              </w:rPr>
              <w:t xml:space="preserve">The PERTE are </w:t>
            </w:r>
            <w:r>
              <w:rPr>
                <w:rStyle w:val="Muydestacado"/>
                <w:rFonts w:ascii="Segoe UI" w:hAnsi="Segoe UI" w:cs="Segoe UI"/>
                <w:lang w:val="en-GB"/>
              </w:rPr>
              <w:t xml:space="preserve">strategic projects with a </w:t>
            </w:r>
            <w:r>
              <w:rPr>
                <w:rFonts w:ascii="Segoe UI" w:hAnsi="Segoe UI" w:cs="Segoe UI"/>
                <w:lang w:val="en-GB"/>
              </w:rPr>
              <w:t>great capacity to drive economic growth, employment and competitiveness of the Spanish economy, with a high component of public-private collaboration and transversal to the different administrations. The following are currently being developed:</w:t>
            </w:r>
          </w:p>
          <w:p w:rsidR="0060765E" w:rsidRPr="00E577B2" w:rsidRDefault="00E72AFA">
            <w:pPr>
              <w:pStyle w:val="Textoindependiente"/>
              <w:spacing w:after="0" w:line="240" w:lineRule="auto"/>
              <w:rPr>
                <w:lang w:val="en-GB"/>
              </w:rPr>
            </w:pPr>
            <w:hyperlink r:id="rId12" w:anchor="vehiculo" w:history="1">
              <w:r w:rsidR="00AE0A7A">
                <w:rPr>
                  <w:rStyle w:val="EnlacedeInternet"/>
                  <w:rFonts w:ascii="Segoe UI" w:hAnsi="Segoe UI" w:cs="Segoe UI"/>
                  <w:lang w:val="en-GB"/>
                </w:rPr>
                <w:t>PERTE for the development of electric and connected vehicles</w:t>
              </w:r>
            </w:hyperlink>
            <w:r w:rsidR="00AE0A7A">
              <w:rPr>
                <w:rFonts w:ascii="Segoe UI" w:hAnsi="Segoe UI" w:cs="Segoe UI"/>
                <w:lang w:val="en-GB"/>
              </w:rPr>
              <w:t xml:space="preserve"> </w:t>
            </w:r>
          </w:p>
          <w:p w:rsidR="0060765E" w:rsidRDefault="00E72AFA">
            <w:pPr>
              <w:pStyle w:val="Textoindependiente"/>
              <w:numPr>
                <w:ilvl w:val="0"/>
                <w:numId w:val="3"/>
              </w:numPr>
              <w:tabs>
                <w:tab w:val="left" w:pos="0"/>
              </w:tabs>
              <w:spacing w:after="0"/>
            </w:pPr>
            <w:hyperlink r:id="rId13" w:anchor="salud" w:history="1">
              <w:r w:rsidR="00AE0A7A">
                <w:rPr>
                  <w:rStyle w:val="EnlacedeInternet"/>
                </w:rPr>
                <w:t xml:space="preserve">PERTE </w:t>
              </w:r>
              <w:proofErr w:type="spellStart"/>
              <w:r w:rsidR="00AE0A7A">
                <w:rPr>
                  <w:rStyle w:val="EnlacedeInternet"/>
                </w:rPr>
                <w:t>for</w:t>
              </w:r>
              <w:proofErr w:type="spellEnd"/>
              <w:r w:rsidR="00AE0A7A">
                <w:rPr>
                  <w:rStyle w:val="EnlacedeInternet"/>
                </w:rPr>
                <w:t xml:space="preserve"> </w:t>
              </w:r>
              <w:proofErr w:type="spellStart"/>
              <w:r w:rsidR="00AE0A7A">
                <w:rPr>
                  <w:rStyle w:val="EnlacedeInternet"/>
                </w:rPr>
                <w:t>cutting-edge</w:t>
              </w:r>
              <w:proofErr w:type="spellEnd"/>
              <w:r w:rsidR="00AE0A7A">
                <w:rPr>
                  <w:rStyle w:val="EnlacedeInternet"/>
                </w:rPr>
                <w:t xml:space="preserve"> </w:t>
              </w:r>
              <w:proofErr w:type="spellStart"/>
              <w:r w:rsidR="00AE0A7A">
                <w:rPr>
                  <w:rStyle w:val="EnlacedeInternet"/>
                </w:rPr>
                <w:t>health</w:t>
              </w:r>
              <w:proofErr w:type="spellEnd"/>
            </w:hyperlink>
            <w:r w:rsidR="00AE0A7A">
              <w:t xml:space="preserve"> </w:t>
            </w:r>
          </w:p>
          <w:p w:rsidR="0060765E" w:rsidRPr="00E577B2" w:rsidRDefault="00E72AFA">
            <w:pPr>
              <w:pStyle w:val="Textoindependiente"/>
              <w:numPr>
                <w:ilvl w:val="0"/>
                <w:numId w:val="3"/>
              </w:numPr>
              <w:tabs>
                <w:tab w:val="left" w:pos="0"/>
              </w:tabs>
              <w:spacing w:after="0"/>
              <w:rPr>
                <w:lang w:val="en-GB"/>
              </w:rPr>
            </w:pPr>
            <w:hyperlink r:id="rId14" w:anchor="renovables" w:history="1">
              <w:r w:rsidR="00AE0A7A" w:rsidRPr="00E577B2">
                <w:rPr>
                  <w:rStyle w:val="EnlacedeInternet"/>
                  <w:lang w:val="en-GB"/>
                </w:rPr>
                <w:t>Renewable energy, renewable hydrogen and storage PERTS</w:t>
              </w:r>
            </w:hyperlink>
            <w:r w:rsidR="00AE0A7A" w:rsidRPr="00E577B2">
              <w:rPr>
                <w:lang w:val="en-GB"/>
              </w:rPr>
              <w:t xml:space="preserve"> </w:t>
            </w:r>
          </w:p>
          <w:p w:rsidR="0060765E" w:rsidRDefault="00E72AFA">
            <w:pPr>
              <w:pStyle w:val="Textoindependiente"/>
              <w:numPr>
                <w:ilvl w:val="0"/>
                <w:numId w:val="3"/>
              </w:numPr>
              <w:tabs>
                <w:tab w:val="left" w:pos="0"/>
              </w:tabs>
              <w:spacing w:after="0"/>
            </w:pPr>
            <w:hyperlink r:id="rId15" w:anchor="agro" w:history="1">
              <w:r w:rsidR="00AE0A7A">
                <w:rPr>
                  <w:rStyle w:val="EnlacedeInternet"/>
                </w:rPr>
                <w:t xml:space="preserve">PERTE </w:t>
              </w:r>
              <w:proofErr w:type="spellStart"/>
              <w:r w:rsidR="00AE0A7A">
                <w:rPr>
                  <w:rStyle w:val="EnlacedeInternet"/>
                </w:rPr>
                <w:t>Agri-Food</w:t>
              </w:r>
              <w:proofErr w:type="spellEnd"/>
            </w:hyperlink>
            <w:r w:rsidR="00AE0A7A">
              <w:t xml:space="preserve">  </w:t>
            </w:r>
          </w:p>
          <w:p w:rsidR="0060765E" w:rsidRDefault="00E72AFA">
            <w:pPr>
              <w:pStyle w:val="Textoindependiente"/>
              <w:numPr>
                <w:ilvl w:val="0"/>
                <w:numId w:val="3"/>
              </w:numPr>
              <w:tabs>
                <w:tab w:val="left" w:pos="0"/>
              </w:tabs>
              <w:spacing w:after="0"/>
            </w:pPr>
            <w:hyperlink r:id="rId16" w:anchor="lengua" w:history="1">
              <w:r w:rsidR="00AE0A7A">
                <w:rPr>
                  <w:rStyle w:val="EnlacedeInternet"/>
                </w:rPr>
                <w:t xml:space="preserve">PERTE New </w:t>
              </w:r>
              <w:proofErr w:type="spellStart"/>
              <w:r w:rsidR="00AE0A7A">
                <w:rPr>
                  <w:rStyle w:val="EnlacedeInternet"/>
                </w:rPr>
                <w:t>economics</w:t>
              </w:r>
              <w:proofErr w:type="spellEnd"/>
              <w:r w:rsidR="00AE0A7A">
                <w:rPr>
                  <w:rStyle w:val="EnlacedeInternet"/>
                </w:rPr>
                <w:t xml:space="preserve"> of </w:t>
              </w:r>
              <w:proofErr w:type="spellStart"/>
              <w:r w:rsidR="00AE0A7A">
                <w:rPr>
                  <w:rStyle w:val="EnlacedeInternet"/>
                </w:rPr>
                <w:t>language</w:t>
              </w:r>
              <w:proofErr w:type="spellEnd"/>
            </w:hyperlink>
            <w:r w:rsidR="00AE0A7A">
              <w:t xml:space="preserve"> </w:t>
            </w:r>
          </w:p>
          <w:p w:rsidR="0060765E" w:rsidRDefault="00E72AFA">
            <w:pPr>
              <w:pStyle w:val="Textoindependiente"/>
              <w:numPr>
                <w:ilvl w:val="0"/>
                <w:numId w:val="3"/>
              </w:numPr>
              <w:tabs>
                <w:tab w:val="left" w:pos="0"/>
              </w:tabs>
              <w:spacing w:after="0"/>
            </w:pPr>
            <w:hyperlink r:id="rId17" w:anchor="circular" w:history="1">
              <w:r w:rsidR="00AE0A7A">
                <w:rPr>
                  <w:rStyle w:val="EnlacedeInternet"/>
                </w:rPr>
                <w:t xml:space="preserve">PERTE Circular </w:t>
              </w:r>
              <w:proofErr w:type="spellStart"/>
              <w:r w:rsidR="00AE0A7A">
                <w:rPr>
                  <w:rStyle w:val="EnlacedeInternet"/>
                </w:rPr>
                <w:t>economy</w:t>
              </w:r>
              <w:proofErr w:type="spellEnd"/>
            </w:hyperlink>
            <w:r w:rsidR="00AE0A7A">
              <w:t xml:space="preserve"> </w:t>
            </w:r>
          </w:p>
          <w:p w:rsidR="0060765E" w:rsidRDefault="00E72AFA">
            <w:pPr>
              <w:pStyle w:val="Textoindependiente"/>
              <w:numPr>
                <w:ilvl w:val="0"/>
                <w:numId w:val="3"/>
              </w:numPr>
              <w:tabs>
                <w:tab w:val="left" w:pos="0"/>
              </w:tabs>
              <w:spacing w:after="0"/>
            </w:pPr>
            <w:hyperlink r:id="rId18" w:anchor="naval" w:history="1">
              <w:r w:rsidR="00AE0A7A">
                <w:rPr>
                  <w:rStyle w:val="EnlacedeInternet"/>
                </w:rPr>
                <w:t xml:space="preserve">PERTE </w:t>
              </w:r>
              <w:proofErr w:type="spellStart"/>
              <w:r w:rsidR="00AE0A7A">
                <w:rPr>
                  <w:rStyle w:val="EnlacedeInternet"/>
                </w:rPr>
                <w:t>for</w:t>
              </w:r>
              <w:proofErr w:type="spellEnd"/>
              <w:r w:rsidR="00AE0A7A">
                <w:rPr>
                  <w:rStyle w:val="EnlacedeInternet"/>
                </w:rPr>
                <w:t xml:space="preserve"> </w:t>
              </w:r>
              <w:proofErr w:type="spellStart"/>
              <w:r w:rsidR="00AE0A7A">
                <w:rPr>
                  <w:rStyle w:val="EnlacedeInternet"/>
                </w:rPr>
                <w:t>the</w:t>
              </w:r>
              <w:proofErr w:type="spellEnd"/>
              <w:r w:rsidR="00AE0A7A">
                <w:rPr>
                  <w:rStyle w:val="EnlacedeInternet"/>
                </w:rPr>
                <w:t xml:space="preserve"> </w:t>
              </w:r>
              <w:proofErr w:type="spellStart"/>
              <w:r w:rsidR="00AE0A7A">
                <w:rPr>
                  <w:rStyle w:val="EnlacedeInternet"/>
                </w:rPr>
                <w:t>shipbuilding</w:t>
              </w:r>
              <w:proofErr w:type="spellEnd"/>
              <w:r w:rsidR="00AE0A7A">
                <w:rPr>
                  <w:rStyle w:val="EnlacedeInternet"/>
                </w:rPr>
                <w:t xml:space="preserve"> </w:t>
              </w:r>
              <w:proofErr w:type="spellStart"/>
              <w:r w:rsidR="00AE0A7A">
                <w:rPr>
                  <w:rStyle w:val="EnlacedeInternet"/>
                </w:rPr>
                <w:t>industry</w:t>
              </w:r>
              <w:proofErr w:type="spellEnd"/>
            </w:hyperlink>
            <w:r w:rsidR="00AE0A7A">
              <w:t xml:space="preserve"> </w:t>
            </w:r>
          </w:p>
          <w:p w:rsidR="0060765E" w:rsidRDefault="00E72AFA">
            <w:pPr>
              <w:pStyle w:val="Textoindependiente"/>
              <w:numPr>
                <w:ilvl w:val="0"/>
                <w:numId w:val="3"/>
              </w:numPr>
              <w:tabs>
                <w:tab w:val="left" w:pos="0"/>
              </w:tabs>
              <w:spacing w:after="0"/>
            </w:pPr>
            <w:hyperlink r:id="rId19" w:anchor="aeroespacial" w:history="1">
              <w:r w:rsidR="00AE0A7A">
                <w:rPr>
                  <w:rStyle w:val="EnlacedeInternet"/>
                </w:rPr>
                <w:t xml:space="preserve">PERTE </w:t>
              </w:r>
              <w:proofErr w:type="spellStart"/>
              <w:r w:rsidR="00AE0A7A">
                <w:rPr>
                  <w:rStyle w:val="EnlacedeInternet"/>
                </w:rPr>
                <w:t>Aerospace</w:t>
              </w:r>
              <w:proofErr w:type="spellEnd"/>
            </w:hyperlink>
            <w:r w:rsidR="00AE0A7A">
              <w:t xml:space="preserve">  </w:t>
            </w:r>
          </w:p>
          <w:p w:rsidR="0060765E" w:rsidRPr="00E577B2" w:rsidRDefault="00E72AFA">
            <w:pPr>
              <w:pStyle w:val="Textoindependiente"/>
              <w:numPr>
                <w:ilvl w:val="0"/>
                <w:numId w:val="3"/>
              </w:numPr>
              <w:tabs>
                <w:tab w:val="left" w:pos="0"/>
              </w:tabs>
              <w:spacing w:after="0"/>
              <w:rPr>
                <w:lang w:val="en-GB"/>
              </w:rPr>
            </w:pPr>
            <w:hyperlink r:id="rId20" w:anchor="agua" w:history="1">
              <w:r w:rsidR="00AE0A7A" w:rsidRPr="00E577B2">
                <w:rPr>
                  <w:rStyle w:val="EnlacedeInternet"/>
                  <w:lang w:val="en-GB"/>
                </w:rPr>
                <w:t>PERTE of digitisation of the water cycle</w:t>
              </w:r>
            </w:hyperlink>
            <w:r w:rsidR="00AE0A7A" w:rsidRPr="00E577B2">
              <w:rPr>
                <w:lang w:val="en-GB"/>
              </w:rPr>
              <w:t xml:space="preserve">  </w:t>
            </w:r>
          </w:p>
          <w:p w:rsidR="0060765E" w:rsidRDefault="00E72AFA">
            <w:pPr>
              <w:pStyle w:val="Textoindependiente"/>
              <w:numPr>
                <w:ilvl w:val="0"/>
                <w:numId w:val="3"/>
              </w:numPr>
              <w:tabs>
                <w:tab w:val="left" w:pos="0"/>
              </w:tabs>
              <w:spacing w:after="0"/>
            </w:pPr>
            <w:hyperlink r:id="rId21" w:anchor="microelectronica" w:history="1">
              <w:r w:rsidR="00AE0A7A">
                <w:rPr>
                  <w:rStyle w:val="EnlacedeInternet"/>
                </w:rPr>
                <w:t xml:space="preserve">PERTE of </w:t>
              </w:r>
              <w:proofErr w:type="spellStart"/>
              <w:r w:rsidR="00AE0A7A">
                <w:rPr>
                  <w:rStyle w:val="EnlacedeInternet"/>
                </w:rPr>
                <w:t>microelectronics</w:t>
              </w:r>
              <w:proofErr w:type="spellEnd"/>
              <w:r w:rsidR="00AE0A7A">
                <w:rPr>
                  <w:rStyle w:val="EnlacedeInternet"/>
                </w:rPr>
                <w:t xml:space="preserve"> and </w:t>
              </w:r>
              <w:proofErr w:type="spellStart"/>
              <w:r w:rsidR="00AE0A7A">
                <w:rPr>
                  <w:rStyle w:val="EnlacedeInternet"/>
                </w:rPr>
                <w:t>semiconductors</w:t>
              </w:r>
              <w:proofErr w:type="spellEnd"/>
            </w:hyperlink>
            <w:r w:rsidR="00AE0A7A">
              <w:t xml:space="preserve">  </w:t>
            </w:r>
          </w:p>
          <w:p w:rsidR="0060765E" w:rsidRPr="00E577B2" w:rsidRDefault="00E72AFA">
            <w:pPr>
              <w:pStyle w:val="Textoindependiente"/>
              <w:numPr>
                <w:ilvl w:val="0"/>
                <w:numId w:val="3"/>
              </w:numPr>
              <w:tabs>
                <w:tab w:val="left" w:pos="0"/>
              </w:tabs>
              <w:spacing w:after="0"/>
              <w:rPr>
                <w:lang w:val="en-GB"/>
              </w:rPr>
            </w:pPr>
            <w:hyperlink r:id="rId22" w:anchor="cuidados" w:history="1">
              <w:r w:rsidR="00AE0A7A" w:rsidRPr="00E577B2">
                <w:rPr>
                  <w:rStyle w:val="EnlacedeInternet"/>
                  <w:lang w:val="en-GB"/>
                </w:rPr>
                <w:t>PERTE of the social and care economy</w:t>
              </w:r>
            </w:hyperlink>
            <w:r w:rsidR="00AE0A7A" w:rsidRPr="00E577B2">
              <w:rPr>
                <w:lang w:val="en-GB"/>
              </w:rPr>
              <w:t xml:space="preserve"> </w:t>
            </w:r>
          </w:p>
          <w:p w:rsidR="0060765E" w:rsidRDefault="0060765E">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r>
      <w:tr w:rsidR="0060765E">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t>16</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Possibility to amend existing legislation PPUB and PPP</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pPr>
            <w:r>
              <w:rPr>
                <w:rFonts w:ascii="Segoe UI" w:hAnsi="Segoe UI" w:cs="Segoe UI"/>
                <w:lang w:val="en-GB"/>
              </w:rPr>
              <w:t>The criteria and requirements of the LCSP (public sector procurement law) have been modified to integrate the proposals of the Structure, Transformation and Resilience Plan into the regulations and immediate actions. The motivation has been the COVID health crisis with the economic impact it has meant at a global level, added to the specific needs at a systemic level to work from other models and paradigms. Urgency has been the key factor.</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r>
      <w:tr w:rsidR="0060765E" w:rsidRPr="005E43C3">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t>17</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Possibility of regulatory implementation (new or amended) PPUB and PPP</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60765E">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r>
      <w:tr w:rsidR="0060765E" w:rsidRPr="005E43C3">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t>18</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Problem Identification/implementation of PPUB and PPP regulations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spacing w:after="0" w:line="240" w:lineRule="auto"/>
              <w:rPr>
                <w:lang w:val="en-GB"/>
              </w:rPr>
            </w:pPr>
            <w:r w:rsidRPr="00E577B2">
              <w:rPr>
                <w:lang w:val="en-GB"/>
              </w:rPr>
              <w:t xml:space="preserve">There is no legal or practical regulation and development to facilitate public-private participation processes beyond </w:t>
            </w:r>
            <w:r w:rsidRPr="00E577B2">
              <w:rPr>
                <w:lang w:val="en-GB"/>
              </w:rPr>
              <w:lastRenderedPageBreak/>
              <w:t>large investments and strategic issues. There is no dialogue with grassroots social actors to facilitate the co-production of public policies from below.</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r>
      <w:tr w:rsidR="0060765E" w:rsidRPr="005E43C3">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rFonts w:ascii="Segoe UI" w:hAnsi="Segoe UI" w:cs="Segoe UI"/>
                <w:b/>
                <w:bCs/>
                <w:color w:val="FFFFFF" w:themeColor="background1"/>
                <w:lang w:val="en-GB"/>
              </w:rPr>
            </w:pPr>
            <w:r>
              <w:rPr>
                <w:b/>
                <w:bCs/>
                <w:color w:val="FFFFFF" w:themeColor="background1"/>
                <w:lang w:val="en-GB"/>
              </w:rPr>
              <w:t>19</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PPUB and PPP and other regulations applicable to the demonstration action (concrete project)</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spacing w:after="0" w:line="240" w:lineRule="auto"/>
              <w:rPr>
                <w:lang w:val="en-GB"/>
              </w:rPr>
            </w:pPr>
            <w:r>
              <w:rPr>
                <w:rFonts w:ascii="Segoe UI" w:hAnsi="Segoe UI" w:cs="Segoe UI"/>
                <w:lang w:val="en-GB"/>
              </w:rPr>
              <w:t>It would be possible to include the philosophy of action of the Demonstration Action under different headings of the key projects detailed in the PERTEs.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r>
      <w:tr w:rsidR="0060765E" w:rsidRPr="00E577B2">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b/>
                <w:bCs/>
                <w:color w:val="FFFFFF" w:themeColor="background1"/>
                <w:lang w:val="en-GB"/>
              </w:rPr>
            </w:pPr>
            <w:r>
              <w:rPr>
                <w:b/>
                <w:bCs/>
                <w:color w:val="FFFFFF" w:themeColor="background1"/>
                <w:lang w:val="en-GB"/>
              </w:rPr>
              <w:t>20</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Other PPUB and PPP-related issues and policy areas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spacing w:after="0" w:line="240" w:lineRule="auto"/>
              <w:rPr>
                <w:lang w:val="en-GB"/>
              </w:rPr>
            </w:pPr>
            <w:r>
              <w:rPr>
                <w:lang w:val="en-GB"/>
              </w:rPr>
              <w:t>Lack of commitment or political will: short-termism in partnership policies.</w:t>
            </w:r>
          </w:p>
          <w:p w:rsidR="0060765E" w:rsidRPr="00E577B2" w:rsidRDefault="00AE0A7A">
            <w:pPr>
              <w:spacing w:after="0" w:line="240" w:lineRule="auto"/>
              <w:rPr>
                <w:lang w:val="en-GB"/>
              </w:rPr>
            </w:pPr>
            <w:r>
              <w:rPr>
                <w:lang w:val="en-GB"/>
              </w:rPr>
              <w:t>Lack of capacity on the part of local actors to access the PPPA to establish co-production agreements and practices.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lang w:val="en-GB"/>
              </w:rPr>
            </w:pPr>
          </w:p>
          <w:p w:rsidR="0060765E" w:rsidRDefault="0060765E">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r>
      <w:tr w:rsidR="0060765E" w:rsidRPr="00E577B2">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b/>
                <w:bCs/>
                <w:color w:val="FFFFFF" w:themeColor="background1"/>
                <w:lang w:val="en-GB"/>
              </w:rPr>
            </w:pPr>
            <w:r>
              <w:rPr>
                <w:b/>
                <w:bCs/>
                <w:color w:val="FFFFFF" w:themeColor="background1"/>
                <w:lang w:val="en-GB"/>
              </w:rPr>
              <w:t>21</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Examples of PPUB procurement in co-production with SSE actors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AE0A7A">
            <w:pPr>
              <w:spacing w:after="0" w:line="240" w:lineRule="auto"/>
              <w:rPr>
                <w:lang w:val="en-GB"/>
              </w:rPr>
            </w:pPr>
            <w:r>
              <w:rPr>
                <w:lang w:val="en-GB"/>
              </w:rPr>
              <w:t>Call for tenders for land for the creation of a housing cooperative for the transfer of use by EMVISESA for Social Economy organisations.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Pr="00E577B2" w:rsidRDefault="00E72AFA">
            <w:pPr>
              <w:pStyle w:val="Ttulo2"/>
              <w:rPr>
                <w:lang w:val="en-GB"/>
              </w:rPr>
            </w:pPr>
            <w:hyperlink r:id="rId23">
              <w:r w:rsidR="00AE0A7A">
                <w:rPr>
                  <w:rStyle w:val="EnlacedeInternet"/>
                  <w:lang w:val="en-GB"/>
                </w:rPr>
                <w:t xml:space="preserve">Seville City Council opens, through </w:t>
              </w:r>
              <w:proofErr w:type="spellStart"/>
              <w:r w:rsidR="00AE0A7A">
                <w:rPr>
                  <w:rStyle w:val="EnlacedeInternet"/>
                  <w:lang w:val="en-GB"/>
                </w:rPr>
                <w:t>Emvisesa</w:t>
              </w:r>
              <w:proofErr w:type="spellEnd"/>
              <w:r w:rsidR="00AE0A7A">
                <w:rPr>
                  <w:rStyle w:val="EnlacedeInternet"/>
                  <w:lang w:val="en-GB"/>
                </w:rPr>
                <w:t xml:space="preserve">, the first call for proposals to develop a cooperative housing project for private entities with social purposes in San </w:t>
              </w:r>
              <w:proofErr w:type="spellStart"/>
              <w:r w:rsidR="00AE0A7A">
                <w:rPr>
                  <w:rStyle w:val="EnlacedeInternet"/>
                  <w:lang w:val="en-GB"/>
                </w:rPr>
                <w:t>Jerónimo</w:t>
              </w:r>
              <w:proofErr w:type="spellEnd"/>
              <w:r w:rsidR="00AE0A7A">
                <w:rPr>
                  <w:rStyle w:val="EnlacedeInternet"/>
                  <w:lang w:val="en-GB"/>
                </w:rPr>
                <w:t>.</w:t>
              </w:r>
            </w:hyperlink>
          </w:p>
          <w:p w:rsidR="0060765E" w:rsidRDefault="0060765E">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r>
      <w:tr w:rsidR="0060765E" w:rsidRPr="00E577B2">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60765E" w:rsidRDefault="00AE0A7A">
            <w:pPr>
              <w:spacing w:after="0" w:line="240" w:lineRule="auto"/>
              <w:jc w:val="center"/>
              <w:rPr>
                <w:b/>
                <w:bCs/>
                <w:color w:val="FFFFFF" w:themeColor="background1"/>
                <w:lang w:val="en-GB"/>
              </w:rPr>
            </w:pPr>
            <w:r>
              <w:rPr>
                <w:b/>
                <w:bCs/>
                <w:color w:val="FFFFFF" w:themeColor="background1"/>
                <w:lang w:val="en-GB"/>
              </w:rPr>
              <w:t>22</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rFonts w:ascii="Segoe UI" w:hAnsi="Segoe UI" w:cs="Segoe UI"/>
                <w:b/>
                <w:bCs/>
                <w:color w:val="80181F"/>
                <w:lang w:val="en-GB"/>
              </w:rPr>
            </w:pPr>
            <w:r>
              <w:rPr>
                <w:rFonts w:ascii="Segoe UI" w:hAnsi="Segoe UI" w:cs="Segoe UI"/>
                <w:b/>
                <w:bCs/>
                <w:color w:val="80181F"/>
                <w:lang w:val="en-GB"/>
              </w:rPr>
              <w:t>Other issues to highlight</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AE0A7A">
            <w:pPr>
              <w:spacing w:after="0" w:line="240" w:lineRule="auto"/>
              <w:rPr>
                <w:lang w:val="en-GB"/>
              </w:rPr>
            </w:pPr>
            <w:r w:rsidRPr="00E577B2">
              <w:rPr>
                <w:lang w:val="en-GB"/>
              </w:rPr>
              <w:t>Issues considered relevant to PPUB and PPP regulation</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60765E" w:rsidRDefault="0060765E">
            <w:pPr>
              <w:spacing w:after="0" w:line="240" w:lineRule="auto"/>
              <w:rPr>
                <w:rFonts w:ascii="Segoe UI" w:hAnsi="Segoe UI" w:cs="Segoe UI"/>
                <w:lang w:val="en-GB"/>
              </w:rPr>
            </w:pPr>
          </w:p>
        </w:tc>
      </w:tr>
    </w:tbl>
    <w:p w:rsidR="0060765E" w:rsidRDefault="0060765E">
      <w:pPr>
        <w:rPr>
          <w:rFonts w:ascii="Segoe UI" w:hAnsi="Segoe UI" w:cs="Segoe UI"/>
          <w:b/>
          <w:bCs/>
          <w:u w:val="single"/>
          <w:lang w:val="en-GB"/>
        </w:rPr>
      </w:pPr>
    </w:p>
    <w:p w:rsidR="0060765E" w:rsidRPr="00E577B2" w:rsidRDefault="00AE0A7A">
      <w:pPr>
        <w:keepNext/>
        <w:rPr>
          <w:rFonts w:ascii="Segoe UI" w:hAnsi="Segoe UI" w:cs="Segoe UI"/>
          <w:b/>
          <w:bCs/>
          <w:color w:val="80181F"/>
          <w:lang w:val="en-GB"/>
        </w:rPr>
      </w:pPr>
      <w:r w:rsidRPr="00E577B2">
        <w:rPr>
          <w:rFonts w:ascii="Segoe UI" w:hAnsi="Segoe UI" w:cs="Segoe UI"/>
          <w:b/>
          <w:bCs/>
          <w:color w:val="80181F"/>
          <w:lang w:val="en-GB"/>
        </w:rPr>
        <w:lastRenderedPageBreak/>
        <w:t>CHALLENGES AND RECOMMENDATIONS:</w:t>
      </w:r>
    </w:p>
    <w:p w:rsidR="0060765E" w:rsidRPr="00E577B2" w:rsidRDefault="00AE0A7A">
      <w:pPr>
        <w:rPr>
          <w:lang w:val="en-GB"/>
        </w:rPr>
      </w:pPr>
      <w:r w:rsidRPr="00E577B2">
        <w:rPr>
          <w:rFonts w:ascii="Segoe UI" w:hAnsi="Segoe UI" w:cs="Segoe UI"/>
          <w:lang w:val="en-GB"/>
        </w:rPr>
        <w:t>Expanding partnerships between public authorities and local social actors for the co-production of public policies with local impact, beyond major public works, public tenders and public procurement, and strategic areas linked to collaboration with large companies and corporations.</w:t>
      </w:r>
    </w:p>
    <w:p w:rsidR="0060765E" w:rsidRPr="00E577B2" w:rsidRDefault="0060765E">
      <w:pPr>
        <w:rPr>
          <w:rFonts w:ascii="Segoe UI" w:hAnsi="Segoe UI" w:cs="Segoe UI"/>
          <w:lang w:val="en-GB"/>
        </w:rPr>
      </w:pPr>
    </w:p>
    <w:p w:rsidR="0060765E" w:rsidRPr="00E577B2" w:rsidRDefault="00AE0A7A">
      <w:pPr>
        <w:keepNext/>
        <w:rPr>
          <w:rFonts w:ascii="Segoe UI" w:hAnsi="Segoe UI" w:cs="Segoe UI"/>
          <w:b/>
          <w:bCs/>
          <w:color w:val="80181F"/>
          <w:lang w:val="en-GB"/>
        </w:rPr>
      </w:pPr>
      <w:r w:rsidRPr="00E577B2">
        <w:rPr>
          <w:rFonts w:ascii="Segoe UI" w:hAnsi="Segoe UI" w:cs="Segoe UI"/>
          <w:b/>
          <w:bCs/>
          <w:color w:val="80181F"/>
          <w:lang w:val="en-GB"/>
        </w:rPr>
        <w:t>MEASURES TO BE IMPLEMENTED:</w:t>
      </w:r>
    </w:p>
    <w:p w:rsidR="0060765E" w:rsidRPr="00E577B2" w:rsidRDefault="00AE0A7A">
      <w:pPr>
        <w:rPr>
          <w:lang w:val="en-GB"/>
        </w:rPr>
      </w:pPr>
      <w:r w:rsidRPr="00E577B2">
        <w:rPr>
          <w:rFonts w:ascii="Segoe UI" w:hAnsi="Segoe UI" w:cs="Segoe UI"/>
          <w:lang w:val="en-GB"/>
        </w:rPr>
        <w:t>Cohesive, active, structured and creative social and institutional advocacy by the Social Economy and its agents.</w:t>
      </w:r>
    </w:p>
    <w:p w:rsidR="0060765E" w:rsidRPr="00E577B2" w:rsidRDefault="0060765E">
      <w:pPr>
        <w:rPr>
          <w:rFonts w:ascii="Segoe UI" w:hAnsi="Segoe UI" w:cs="Segoe UI"/>
          <w:b/>
          <w:bCs/>
          <w:color w:val="80181F"/>
          <w:lang w:val="en-GB"/>
        </w:rPr>
      </w:pPr>
    </w:p>
    <w:p w:rsidR="0060765E" w:rsidRPr="00E577B2" w:rsidRDefault="00AE0A7A">
      <w:pPr>
        <w:keepNext/>
        <w:rPr>
          <w:rFonts w:ascii="Segoe UI" w:hAnsi="Segoe UI" w:cs="Segoe UI"/>
          <w:b/>
          <w:bCs/>
          <w:color w:val="80181F"/>
          <w:lang w:val="en-GB"/>
        </w:rPr>
      </w:pPr>
      <w:r w:rsidRPr="00E577B2">
        <w:rPr>
          <w:rFonts w:ascii="Segoe UI" w:hAnsi="Segoe UI" w:cs="Segoe UI"/>
          <w:b/>
          <w:bCs/>
          <w:color w:val="80181F"/>
          <w:lang w:val="en-GB"/>
        </w:rPr>
        <w:t>OTHER INTERESTING SUGGESTIONS/NOTES:</w:t>
      </w:r>
    </w:p>
    <w:p w:rsidR="0060765E" w:rsidRPr="00E577B2" w:rsidRDefault="00AE0A7A">
      <w:pPr>
        <w:rPr>
          <w:rFonts w:ascii="Segoe UI" w:hAnsi="Segoe UI" w:cs="Segoe UI"/>
          <w:lang w:val="en-GB"/>
        </w:rPr>
      </w:pPr>
      <w:r w:rsidRPr="00E577B2">
        <w:rPr>
          <w:rFonts w:ascii="Segoe UI" w:hAnsi="Segoe UI" w:cs="Segoe UI"/>
          <w:lang w:val="en-GB"/>
        </w:rPr>
        <w:t>To be completed by the local partner</w:t>
      </w:r>
    </w:p>
    <w:p w:rsidR="0060765E" w:rsidRPr="00E577B2" w:rsidRDefault="0060765E">
      <w:pPr>
        <w:rPr>
          <w:rFonts w:ascii="Segoe UI" w:hAnsi="Segoe UI" w:cs="Segoe UI"/>
          <w:b/>
          <w:bCs/>
          <w:u w:val="single"/>
          <w:lang w:val="en-GB"/>
        </w:rPr>
      </w:pPr>
      <w:bookmarkStart w:id="3" w:name="_Hlk77696174"/>
      <w:bookmarkEnd w:id="3"/>
    </w:p>
    <w:p w:rsidR="0060765E" w:rsidRPr="00E577B2" w:rsidRDefault="00AE0A7A">
      <w:pPr>
        <w:keepNext/>
        <w:rPr>
          <w:rFonts w:ascii="Segoe UI" w:hAnsi="Segoe UI" w:cs="Segoe UI"/>
          <w:b/>
          <w:bCs/>
          <w:color w:val="80181F"/>
          <w:lang w:val="en-GB"/>
        </w:rPr>
      </w:pPr>
      <w:r w:rsidRPr="00E577B2">
        <w:rPr>
          <w:rFonts w:ascii="Segoe UI" w:hAnsi="Segoe UI" w:cs="Segoe UI"/>
          <w:b/>
          <w:bCs/>
          <w:color w:val="80181F"/>
          <w:lang w:val="en-GB"/>
        </w:rPr>
        <w:t>CONFLICTING ASPECTS DETECTED (if any):</w:t>
      </w:r>
    </w:p>
    <w:p w:rsidR="0060765E" w:rsidRPr="00E577B2" w:rsidRDefault="00AE0A7A">
      <w:pPr>
        <w:rPr>
          <w:rFonts w:ascii="Segoe UI" w:hAnsi="Segoe UI" w:cs="Segoe UI"/>
          <w:lang w:val="en-GB"/>
        </w:rPr>
      </w:pPr>
      <w:r w:rsidRPr="00E577B2">
        <w:rPr>
          <w:rFonts w:ascii="Segoe UI" w:hAnsi="Segoe UI" w:cs="Segoe UI"/>
          <w:lang w:val="en-GB"/>
        </w:rPr>
        <w:t>To be completed by the local partner</w:t>
      </w:r>
    </w:p>
    <w:p w:rsidR="0060765E" w:rsidRPr="00E577B2" w:rsidRDefault="0060765E">
      <w:pPr>
        <w:rPr>
          <w:rFonts w:ascii="Segoe UI" w:hAnsi="Segoe UI" w:cs="Segoe UI"/>
          <w:b/>
          <w:bCs/>
          <w:u w:val="single"/>
          <w:lang w:val="en-GB"/>
        </w:rPr>
      </w:pPr>
    </w:p>
    <w:p w:rsidR="0060765E" w:rsidRPr="00E577B2" w:rsidRDefault="00AE0A7A">
      <w:pPr>
        <w:keepNext/>
        <w:rPr>
          <w:rFonts w:ascii="Segoe UI" w:hAnsi="Segoe UI" w:cs="Segoe UI"/>
          <w:b/>
          <w:bCs/>
          <w:color w:val="80181F"/>
          <w:lang w:val="en-GB"/>
        </w:rPr>
      </w:pPr>
      <w:r w:rsidRPr="00E577B2">
        <w:rPr>
          <w:rFonts w:ascii="Segoe UI" w:hAnsi="Segoe UI" w:cs="Segoe UI"/>
          <w:b/>
          <w:bCs/>
          <w:color w:val="80181F"/>
          <w:lang w:val="en-GB"/>
        </w:rPr>
        <w:t>EXAMPLES OF ACTIONS DEVELOPED IN THE COUNTRY IN THIS AREA OF SSE, REFERENCES AND HOW THEY HAVE BEEN DEVELOPED</w:t>
      </w:r>
      <w:r w:rsidRPr="00E577B2">
        <w:rPr>
          <w:rFonts w:ascii="Segoe UI" w:hAnsi="Segoe UI" w:cs="Segoe UI"/>
          <w:b/>
          <w:bCs/>
          <w:color w:val="80181F"/>
          <w:lang w:val="en-GB"/>
        </w:rPr>
        <w:br/>
        <w:t>(if any)</w:t>
      </w:r>
    </w:p>
    <w:p w:rsidR="0060765E" w:rsidRPr="00E577B2" w:rsidRDefault="00AE0A7A">
      <w:pPr>
        <w:pStyle w:val="Ttulo1"/>
        <w:rPr>
          <w:lang w:val="en-GB"/>
        </w:rPr>
      </w:pPr>
      <w:r w:rsidRPr="00E577B2">
        <w:rPr>
          <w:rFonts w:ascii="Segoe UI" w:hAnsi="Segoe UI" w:cs="Segoe UI"/>
          <w:lang w:val="en-GB"/>
        </w:rPr>
        <w:t>PERTE of the social and care economy</w:t>
      </w:r>
    </w:p>
    <w:p w:rsidR="0060765E" w:rsidRPr="00E577B2" w:rsidRDefault="00AE0A7A">
      <w:pPr>
        <w:pStyle w:val="Textoindependiente"/>
        <w:rPr>
          <w:lang w:val="en-GB"/>
        </w:rPr>
      </w:pPr>
      <w:r w:rsidRPr="00E577B2">
        <w:rPr>
          <w:rFonts w:ascii="Segoe UI" w:hAnsi="Segoe UI" w:cs="Segoe UI"/>
          <w:lang w:val="en-GB"/>
        </w:rPr>
        <w:t xml:space="preserve">PERTE is articulated around </w:t>
      </w:r>
      <w:r w:rsidRPr="00E577B2">
        <w:rPr>
          <w:rStyle w:val="Muydestacado"/>
          <w:rFonts w:ascii="Segoe UI" w:hAnsi="Segoe UI" w:cs="Segoe UI"/>
          <w:lang w:val="en-GB"/>
        </w:rPr>
        <w:t>three objectives</w:t>
      </w:r>
      <w:r w:rsidRPr="00E577B2">
        <w:rPr>
          <w:rFonts w:ascii="Segoe UI" w:hAnsi="Segoe UI" w:cs="Segoe UI"/>
          <w:lang w:val="en-GB"/>
        </w:rPr>
        <w:t>:</w:t>
      </w:r>
    </w:p>
    <w:p w:rsidR="0060765E" w:rsidRPr="00E577B2" w:rsidRDefault="00AE0A7A">
      <w:pPr>
        <w:pStyle w:val="Textoindependiente"/>
        <w:numPr>
          <w:ilvl w:val="0"/>
          <w:numId w:val="2"/>
        </w:numPr>
        <w:tabs>
          <w:tab w:val="left" w:pos="0"/>
        </w:tabs>
        <w:spacing w:after="0"/>
        <w:rPr>
          <w:lang w:val="en-GB"/>
        </w:rPr>
      </w:pPr>
      <w:r w:rsidRPr="00E577B2">
        <w:rPr>
          <w:lang w:val="en-GB"/>
        </w:rPr>
        <w:t xml:space="preserve">Promotion and development of the Spanish Social Economy and its transformative potential. </w:t>
      </w:r>
    </w:p>
    <w:p w:rsidR="0060765E" w:rsidRPr="00E577B2" w:rsidRDefault="00AE0A7A">
      <w:pPr>
        <w:pStyle w:val="Textoindependiente"/>
        <w:numPr>
          <w:ilvl w:val="0"/>
          <w:numId w:val="2"/>
        </w:numPr>
        <w:tabs>
          <w:tab w:val="left" w:pos="0"/>
        </w:tabs>
        <w:spacing w:after="0"/>
        <w:rPr>
          <w:lang w:val="en-GB"/>
        </w:rPr>
      </w:pPr>
      <w:r w:rsidRPr="00E577B2">
        <w:rPr>
          <w:lang w:val="en-GB"/>
        </w:rPr>
        <w:t xml:space="preserve">Development and promotion of advanced, accessible and people-centred care services. </w:t>
      </w:r>
    </w:p>
    <w:p w:rsidR="0060765E" w:rsidRPr="00E577B2" w:rsidRDefault="00AE0A7A">
      <w:pPr>
        <w:pStyle w:val="Textoindependiente"/>
        <w:numPr>
          <w:ilvl w:val="0"/>
          <w:numId w:val="2"/>
        </w:numPr>
        <w:tabs>
          <w:tab w:val="left" w:pos="0"/>
        </w:tabs>
        <w:spacing w:after="0"/>
        <w:rPr>
          <w:lang w:val="en-GB"/>
        </w:rPr>
      </w:pPr>
      <w:r w:rsidRPr="00E577B2">
        <w:rPr>
          <w:lang w:val="en-GB"/>
        </w:rPr>
        <w:t>To create a "Cutting-Edge Hub", a benchmark in the Social Economy at the service of knowledge transfer and exchange with social economy organisations.</w:t>
      </w:r>
    </w:p>
    <w:p w:rsidR="0060765E" w:rsidRPr="00E577B2" w:rsidRDefault="0060765E">
      <w:pPr>
        <w:pStyle w:val="Textoindependiente"/>
        <w:spacing w:after="0"/>
        <w:rPr>
          <w:lang w:val="en-GB"/>
        </w:rPr>
      </w:pPr>
    </w:p>
    <w:p w:rsidR="0060765E" w:rsidRPr="00E577B2" w:rsidRDefault="00AE0A7A">
      <w:pPr>
        <w:pStyle w:val="Textoindependiente"/>
        <w:rPr>
          <w:lang w:val="en-GB"/>
        </w:rPr>
      </w:pPr>
      <w:r w:rsidRPr="00E577B2">
        <w:rPr>
          <w:lang w:val="en-GB"/>
        </w:rPr>
        <w:lastRenderedPageBreak/>
        <w:t>Governance will be organised through an inter-ministerial working group and a strategic alliance to boost public and private investment, through the coordinated action of public administrations, universities, research centres and entities and associations that include social economy entities.</w:t>
      </w:r>
    </w:p>
    <w:p w:rsidR="0060765E" w:rsidRPr="00E577B2" w:rsidRDefault="0060765E">
      <w:pPr>
        <w:pStyle w:val="Textoindependiente"/>
        <w:rPr>
          <w:lang w:val="en-GB"/>
        </w:rPr>
      </w:pPr>
    </w:p>
    <w:p w:rsidR="0060765E" w:rsidRPr="00E577B2" w:rsidRDefault="0060765E">
      <w:pPr>
        <w:pStyle w:val="Textoindependiente"/>
        <w:rPr>
          <w:lang w:val="en-GB"/>
        </w:rPr>
      </w:pPr>
    </w:p>
    <w:p w:rsidR="0060765E" w:rsidRPr="00E577B2" w:rsidRDefault="0060765E">
      <w:pPr>
        <w:pStyle w:val="Textoindependiente"/>
        <w:rPr>
          <w:lang w:val="en-GB"/>
        </w:rPr>
      </w:pPr>
    </w:p>
    <w:p w:rsidR="0060765E" w:rsidRPr="00E577B2" w:rsidRDefault="0060765E">
      <w:pPr>
        <w:pStyle w:val="Textoindependiente"/>
        <w:rPr>
          <w:lang w:val="en-GB"/>
        </w:rPr>
      </w:pPr>
    </w:p>
    <w:p w:rsidR="0060765E" w:rsidRPr="00E577B2" w:rsidRDefault="0060765E">
      <w:pPr>
        <w:rPr>
          <w:lang w:val="en-GB"/>
        </w:rPr>
      </w:pPr>
    </w:p>
    <w:sectPr w:rsidR="0060765E" w:rsidRPr="00E577B2">
      <w:headerReference w:type="default" r:id="rId24"/>
      <w:footerReference w:type="default" r:id="rId25"/>
      <w:pgSz w:w="16838" w:h="11906" w:orient="landscape"/>
      <w:pgMar w:top="1134" w:right="1134" w:bottom="1701" w:left="1134" w:header="709" w:footer="709"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AFA" w:rsidRDefault="00E72AFA">
      <w:pPr>
        <w:spacing w:after="0" w:line="240" w:lineRule="auto"/>
      </w:pPr>
      <w:r>
        <w:separator/>
      </w:r>
    </w:p>
  </w:endnote>
  <w:endnote w:type="continuationSeparator" w:id="0">
    <w:p w:rsidR="00E72AFA" w:rsidRDefault="00E72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charset w:val="01"/>
    <w:family w:val="roman"/>
    <w:pitch w:val="variable"/>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65E" w:rsidRDefault="00AE0A7A">
    <w:pPr>
      <w:pStyle w:val="Piedepgina"/>
    </w:pPr>
    <w:r>
      <w:rPr>
        <w:noProof/>
        <w:lang w:eastAsia="es-ES"/>
      </w:rPr>
      <w:drawing>
        <wp:anchor distT="0" distB="0" distL="114300" distR="114935" simplePos="0" relativeHeight="3" behindDoc="1" locked="0" layoutInCell="1" allowOverlap="1">
          <wp:simplePos x="0" y="0"/>
          <wp:positionH relativeFrom="page">
            <wp:posOffset>-15240</wp:posOffset>
          </wp:positionH>
          <wp:positionV relativeFrom="page">
            <wp:posOffset>9947275</wp:posOffset>
          </wp:positionV>
          <wp:extent cx="7962900" cy="744855"/>
          <wp:effectExtent l="0" t="0" r="0" b="0"/>
          <wp:wrapNone/>
          <wp:docPr id="5"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7" descr="C:\Users\MedTOWN #3\AppData\Local\Microsoft\Windows\INetCache\Content.Word\FooterRainbowPeople.jpg"/>
                  <pic:cNvPicPr>
                    <a:picLocks noChangeAspect="1" noChangeArrowheads="1"/>
                  </pic:cNvPicPr>
                </pic:nvPicPr>
                <pic:blipFill>
                  <a:blip r:embed="rId1"/>
                  <a:stretch>
                    <a:fillRect/>
                  </a:stretch>
                </pic:blipFill>
                <pic:spPr bwMode="auto">
                  <a:xfrm>
                    <a:off x="0" y="0"/>
                    <a:ext cx="7962900" cy="744855"/>
                  </a:xfrm>
                  <a:prstGeom prst="rect">
                    <a:avLst/>
                  </a:prstGeom>
                </pic:spPr>
              </pic:pic>
            </a:graphicData>
          </a:graphic>
        </wp:anchor>
      </w:drawing>
    </w:r>
    <w:r>
      <w:rPr>
        <w:noProof/>
        <w:lang w:eastAsia="es-ES"/>
      </w:rPr>
      <w:drawing>
        <wp:anchor distT="0" distB="4445" distL="114300" distR="114300" simplePos="0" relativeHeight="5" behindDoc="1" locked="0" layoutInCell="1" allowOverlap="1">
          <wp:simplePos x="0" y="0"/>
          <wp:positionH relativeFrom="margin">
            <wp:align>center</wp:align>
          </wp:positionH>
          <wp:positionV relativeFrom="page">
            <wp:posOffset>6482080</wp:posOffset>
          </wp:positionV>
          <wp:extent cx="6804025" cy="720090"/>
          <wp:effectExtent l="0" t="0" r="0" b="0"/>
          <wp:wrapTopAndBottom/>
          <wp:docPr id="6" name="Imagen 6" descr="C:\Users\MedTOWN #3\AppData\Local\Microsoft\Windows\INetCache\Content.Word\Logos_allpartnersMedTOWN_2022-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C:\Users\MedTOWN #3\AppData\Local\Microsoft\Windows\INetCache\Content.Word\Logos_allpartnersMedTOWN_2022-06.jpg"/>
                  <pic:cNvPicPr>
                    <a:picLocks noChangeAspect="1" noChangeArrowheads="1"/>
                  </pic:cNvPicPr>
                </pic:nvPicPr>
                <pic:blipFill>
                  <a:blip r:embed="rId2"/>
                  <a:stretch>
                    <a:fillRect/>
                  </a:stretch>
                </pic:blipFill>
                <pic:spPr bwMode="auto">
                  <a:xfrm>
                    <a:off x="0" y="0"/>
                    <a:ext cx="6804025" cy="72009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65E" w:rsidRDefault="0060765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AFA" w:rsidRDefault="00E72AFA"/>
  </w:footnote>
  <w:footnote w:type="continuationSeparator" w:id="0">
    <w:p w:rsidR="00E72AFA" w:rsidRDefault="00E72AFA">
      <w:r>
        <w:continuationSeparator/>
      </w:r>
    </w:p>
  </w:footnote>
  <w:footnote w:id="1">
    <w:p w:rsidR="0060765E" w:rsidRPr="00E577B2" w:rsidRDefault="00AE0A7A">
      <w:pPr>
        <w:pStyle w:val="Textonotapie"/>
        <w:rPr>
          <w:lang w:val="en-GB"/>
        </w:rPr>
      </w:pPr>
      <w:r>
        <w:rPr>
          <w:rStyle w:val="Refdenotaalpie"/>
        </w:rPr>
        <w:footnoteRef/>
      </w:r>
      <w:r w:rsidRPr="00E577B2">
        <w:rPr>
          <w:rStyle w:val="Refdenotaalpie"/>
          <w:lang w:val="en-GB"/>
        </w:rPr>
        <w:tab/>
      </w:r>
      <w:bookmarkStart w:id="2" w:name="_Hlk77615640"/>
      <w:bookmarkEnd w:id="2"/>
      <w:r>
        <w:rPr>
          <w:lang w:val="en-GB"/>
        </w:rPr>
        <w:t xml:space="preserve"> Especially related to Social Solidarity Economy (SSE) through social and complementary currencies.</w:t>
      </w:r>
    </w:p>
  </w:footnote>
  <w:footnote w:id="2">
    <w:p w:rsidR="0060765E" w:rsidRPr="00E577B2" w:rsidRDefault="00AE0A7A">
      <w:pPr>
        <w:pStyle w:val="Textonotapie"/>
        <w:rPr>
          <w:lang w:val="en-GB"/>
        </w:rPr>
      </w:pPr>
      <w:r>
        <w:rPr>
          <w:rStyle w:val="Refdenotaalpie"/>
        </w:rPr>
        <w:footnoteRef/>
      </w:r>
      <w:r w:rsidRPr="00E577B2">
        <w:rPr>
          <w:rStyle w:val="Refdenotaalpie"/>
          <w:lang w:val="en-GB"/>
        </w:rPr>
        <w:tab/>
      </w:r>
      <w:r>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65E" w:rsidRDefault="00AE0A7A">
    <w:pPr>
      <w:pStyle w:val="Encabezado"/>
    </w:pPr>
    <w:r>
      <w:rPr>
        <w:noProof/>
        <w:lang w:eastAsia="es-ES"/>
      </w:rPr>
      <w:drawing>
        <wp:anchor distT="0" distB="0" distL="114300" distR="0" simplePos="0" relativeHeight="2" behindDoc="1" locked="0" layoutInCell="1" allowOverlap="1">
          <wp:simplePos x="0" y="0"/>
          <wp:positionH relativeFrom="margin">
            <wp:align>right</wp:align>
          </wp:positionH>
          <wp:positionV relativeFrom="paragraph">
            <wp:posOffset>-125730</wp:posOffset>
          </wp:positionV>
          <wp:extent cx="1239520" cy="574040"/>
          <wp:effectExtent l="0" t="0" r="0" b="0"/>
          <wp:wrapNone/>
          <wp:docPr id="3"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5" descr="C:\Users\ACPP\Downloads\Logotipo Color-transparente.png"/>
                  <pic:cNvPicPr>
                    <a:picLocks noChangeAspect="1" noChangeArrowheads="1"/>
                  </pic:cNvPicPr>
                </pic:nvPicPr>
                <pic:blipFill>
                  <a:blip r:embed="rId1"/>
                  <a:stretch>
                    <a:fillRect/>
                  </a:stretch>
                </pic:blipFill>
                <pic:spPr bwMode="auto">
                  <a:xfrm>
                    <a:off x="0" y="0"/>
                    <a:ext cx="1239520" cy="574040"/>
                  </a:xfrm>
                  <a:prstGeom prst="rect">
                    <a:avLst/>
                  </a:prstGeom>
                </pic:spPr>
              </pic:pic>
            </a:graphicData>
          </a:graphic>
        </wp:anchor>
      </w:drawing>
    </w:r>
    <w:r>
      <w:rPr>
        <w:noProof/>
        <w:lang w:eastAsia="es-ES"/>
      </w:rPr>
      <w:drawing>
        <wp:anchor distT="0" distB="0" distL="114300" distR="114300" simplePos="0" relativeHeight="4" behindDoc="1" locked="0" layoutInCell="1" allowOverlap="1">
          <wp:simplePos x="0" y="0"/>
          <wp:positionH relativeFrom="page">
            <wp:posOffset>670560</wp:posOffset>
          </wp:positionH>
          <wp:positionV relativeFrom="page">
            <wp:align>top</wp:align>
          </wp:positionV>
          <wp:extent cx="3707765" cy="1440180"/>
          <wp:effectExtent l="0" t="0" r="0" b="0"/>
          <wp:wrapTopAndBottom/>
          <wp:docPr id="4" name="Imagen 8"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8" descr="C:\Users\MedTOWN #3\AppData\Local\Microsoft\Windows\INetCache\Content.Word\en_medtown.png"/>
                  <pic:cNvPicPr>
                    <a:picLocks noChangeAspect="1" noChangeArrowheads="1"/>
                  </pic:cNvPicPr>
                </pic:nvPicPr>
                <pic:blipFill>
                  <a:blip r:embed="rId2"/>
                  <a:stretch>
                    <a:fillRect/>
                  </a:stretch>
                </pic:blipFill>
                <pic:spPr bwMode="auto">
                  <a:xfrm>
                    <a:off x="0" y="0"/>
                    <a:ext cx="3707765" cy="14401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65E" w:rsidRDefault="0060765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E0686"/>
    <w:multiLevelType w:val="multilevel"/>
    <w:tmpl w:val="CC127C4A"/>
    <w:lvl w:ilvl="0">
      <w:start w:val="1"/>
      <w:numFmt w:val="bullet"/>
      <w:lvlText w:val=""/>
      <w:lvlJc w:val="left"/>
      <w:pPr>
        <w:tabs>
          <w:tab w:val="num" w:pos="707"/>
        </w:tabs>
        <w:ind w:left="707" w:hanging="283"/>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 w15:restartNumberingAfterBreak="0">
    <w:nsid w:val="480705A7"/>
    <w:multiLevelType w:val="multilevel"/>
    <w:tmpl w:val="2E225542"/>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 w15:restartNumberingAfterBreak="0">
    <w:nsid w:val="4D95019B"/>
    <w:multiLevelType w:val="multilevel"/>
    <w:tmpl w:val="6F104558"/>
    <w:lvl w:ilvl="0">
      <w:start w:val="1"/>
      <w:numFmt w:val="upperLetter"/>
      <w:lvlText w:val="%1)"/>
      <w:lvlJc w:val="left"/>
      <w:pPr>
        <w:ind w:left="720" w:hanging="360"/>
      </w:pPr>
      <w:rPr>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AB8115E"/>
    <w:multiLevelType w:val="multilevel"/>
    <w:tmpl w:val="DF902AB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65E"/>
    <w:rsid w:val="005E43C3"/>
    <w:rsid w:val="0060765E"/>
    <w:rsid w:val="00AE0A7A"/>
    <w:rsid w:val="00E577B2"/>
    <w:rsid w:val="00E72AFA"/>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D5CB17-2878-4098-AACB-0F30E44CB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color w:val="00000A"/>
      <w:sz w:val="22"/>
    </w:rPr>
  </w:style>
  <w:style w:type="paragraph" w:styleId="Ttulo1">
    <w:name w:val="heading 1"/>
    <w:basedOn w:val="Encabezado"/>
    <w:qFormat/>
    <w:pPr>
      <w:outlineLvl w:val="0"/>
    </w:pPr>
  </w:style>
  <w:style w:type="paragraph" w:styleId="Ttulo2">
    <w:name w:val="heading 2"/>
    <w:basedOn w:val="Encabezado"/>
    <w:qFormat/>
    <w:pPr>
      <w:outlineLvl w:val="1"/>
    </w:pPr>
  </w:style>
  <w:style w:type="paragraph" w:styleId="Ttulo3">
    <w:name w:val="heading 3"/>
    <w:basedOn w:val="Encabezado"/>
    <w:qFormat/>
    <w:pPr>
      <w:outlineLvl w:val="2"/>
    </w:pPr>
  </w:style>
  <w:style w:type="paragraph" w:styleId="Ttulo5">
    <w:name w:val="heading 5"/>
    <w:basedOn w:val="Encabezado"/>
    <w:qFormat/>
    <w:pPr>
      <w:outlineLvl w:val="4"/>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notapieCar">
    <w:name w:val="Texto nota pie Car"/>
    <w:basedOn w:val="Fuentedeprrafopredeter"/>
    <w:link w:val="Textonotapie"/>
    <w:uiPriority w:val="99"/>
    <w:semiHidden/>
    <w:qFormat/>
    <w:rsid w:val="00517002"/>
    <w:rPr>
      <w:sz w:val="20"/>
      <w:szCs w:val="20"/>
    </w:rPr>
  </w:style>
  <w:style w:type="character" w:styleId="Refdenotaalpie">
    <w:name w:val="footnote reference"/>
    <w:basedOn w:val="Fuentedeprrafopredeter"/>
    <w:uiPriority w:val="99"/>
    <w:semiHidden/>
    <w:unhideWhenUsed/>
    <w:qFormat/>
    <w:rsid w:val="00517002"/>
    <w:rPr>
      <w:vertAlign w:val="superscript"/>
    </w:rPr>
  </w:style>
  <w:style w:type="character" w:customStyle="1" w:styleId="TextonotaalfinalCar">
    <w:name w:val="Texto nota al final Car"/>
    <w:basedOn w:val="Fuentedeprrafopredeter"/>
    <w:link w:val="Textonotaalfinal"/>
    <w:uiPriority w:val="99"/>
    <w:semiHidden/>
    <w:qFormat/>
    <w:rsid w:val="00C96A09"/>
    <w:rPr>
      <w:sz w:val="20"/>
      <w:szCs w:val="20"/>
    </w:rPr>
  </w:style>
  <w:style w:type="character" w:styleId="Refdenotaalfinal">
    <w:name w:val="endnote reference"/>
    <w:basedOn w:val="Fuentedeprrafopredeter"/>
    <w:uiPriority w:val="99"/>
    <w:semiHidden/>
    <w:unhideWhenUsed/>
    <w:qFormat/>
    <w:rsid w:val="00C96A09"/>
    <w:rPr>
      <w:vertAlign w:val="superscript"/>
    </w:rPr>
  </w:style>
  <w:style w:type="character" w:customStyle="1" w:styleId="EncabezadoCar">
    <w:name w:val="Encabezado Car"/>
    <w:basedOn w:val="Fuentedeprrafopredeter"/>
    <w:link w:val="Encabezado"/>
    <w:uiPriority w:val="99"/>
    <w:qFormat/>
    <w:rsid w:val="002F5CF5"/>
  </w:style>
  <w:style w:type="character" w:customStyle="1" w:styleId="PiedepginaCar">
    <w:name w:val="Pie de página Car"/>
    <w:basedOn w:val="Fuentedeprrafopredeter"/>
    <w:link w:val="Piedepgina"/>
    <w:uiPriority w:val="99"/>
    <w:qFormat/>
    <w:rsid w:val="002F5CF5"/>
  </w:style>
  <w:style w:type="character" w:customStyle="1" w:styleId="EnlacedeInternet">
    <w:name w:val="Enlace de Internet"/>
    <w:basedOn w:val="Fuentedeprrafopredeter"/>
    <w:uiPriority w:val="99"/>
    <w:unhideWhenUsed/>
    <w:rsid w:val="002F5CF5"/>
    <w:rPr>
      <w:color w:val="0563C1" w:themeColor="hyperlink"/>
      <w:u w:val="single"/>
    </w:rPr>
  </w:style>
  <w:style w:type="character" w:styleId="Refdecomentario">
    <w:name w:val="annotation reference"/>
    <w:basedOn w:val="Fuentedeprrafopredeter"/>
    <w:uiPriority w:val="99"/>
    <w:semiHidden/>
    <w:unhideWhenUsed/>
    <w:qFormat/>
    <w:rsid w:val="003A1B60"/>
    <w:rPr>
      <w:sz w:val="16"/>
      <w:szCs w:val="16"/>
    </w:rPr>
  </w:style>
  <w:style w:type="character" w:customStyle="1" w:styleId="TextocomentarioCar">
    <w:name w:val="Texto comentario Car"/>
    <w:basedOn w:val="Fuentedeprrafopredeter"/>
    <w:link w:val="Textocomentario"/>
    <w:uiPriority w:val="99"/>
    <w:semiHidden/>
    <w:qFormat/>
    <w:rsid w:val="003A1B60"/>
    <w:rPr>
      <w:sz w:val="20"/>
      <w:szCs w:val="20"/>
    </w:rPr>
  </w:style>
  <w:style w:type="character" w:customStyle="1" w:styleId="TextodegloboCar">
    <w:name w:val="Texto de globo Car"/>
    <w:basedOn w:val="Fuentedeprrafopredeter"/>
    <w:link w:val="Textodeglobo"/>
    <w:uiPriority w:val="99"/>
    <w:semiHidden/>
    <w:qFormat/>
    <w:rsid w:val="003A1B60"/>
    <w:rPr>
      <w:rFonts w:ascii="Segoe UI" w:hAnsi="Segoe UI" w:cs="Segoe UI"/>
      <w:sz w:val="18"/>
      <w:szCs w:val="18"/>
    </w:rPr>
  </w:style>
  <w:style w:type="character" w:customStyle="1" w:styleId="ListLabel1">
    <w:name w:val="ListLabel 1"/>
    <w:qFormat/>
    <w:rPr>
      <w:u w:val="none"/>
    </w:rPr>
  </w:style>
  <w:style w:type="character" w:customStyle="1" w:styleId="Caracteresdenotaalpie">
    <w:name w:val="Caracteres de nota al pie"/>
    <w:qFormat/>
  </w:style>
  <w:style w:type="character" w:customStyle="1" w:styleId="Ancladenotaalpie">
    <w:name w:val="Ancla de nota al pie"/>
    <w:rPr>
      <w:vertAlign w:val="superscript"/>
    </w:rPr>
  </w:style>
  <w:style w:type="character" w:customStyle="1" w:styleId="EnlacedeInternetvisitado">
    <w:name w:val="Enlace de Internet visitado"/>
    <w:rPr>
      <w:color w:val="800000"/>
      <w:u w:val="single"/>
    </w:rPr>
  </w:style>
  <w:style w:type="character" w:customStyle="1" w:styleId="Muydestacado">
    <w:name w:val="Muy destacado"/>
    <w:qFormat/>
    <w:rPr>
      <w:b/>
      <w:bCs/>
    </w:rPr>
  </w:style>
  <w:style w:type="character" w:customStyle="1" w:styleId="Smbolosdenumeracin">
    <w:name w:val="Símbolos de numeración"/>
    <w:qFormat/>
  </w:style>
  <w:style w:type="character" w:customStyle="1" w:styleId="Vietas">
    <w:name w:val="Viñetas"/>
    <w:qFormat/>
    <w:rPr>
      <w:rFonts w:ascii="OpenSymbol" w:eastAsia="OpenSymbol" w:hAnsi="OpenSymbol" w:cs="OpenSymbol"/>
    </w:rPr>
  </w:style>
  <w:style w:type="character" w:customStyle="1" w:styleId="Ancladenotafinal">
    <w:name w:val="Ancla de nota final"/>
    <w:rPr>
      <w:vertAlign w:val="superscript"/>
    </w:rPr>
  </w:style>
  <w:style w:type="character" w:customStyle="1" w:styleId="Caracteresdenotafinal">
    <w:name w:val="Caracteres de nota final"/>
    <w:qFormat/>
  </w:style>
  <w:style w:type="character" w:customStyle="1" w:styleId="ListLabel2">
    <w:name w:val="ListLabel 2"/>
    <w:qFormat/>
    <w:rPr>
      <w:u w:val="none"/>
    </w:rPr>
  </w:style>
  <w:style w:type="character" w:customStyle="1" w:styleId="ListLabel3">
    <w:name w:val="ListLabel 3"/>
    <w:qFormat/>
    <w:rPr>
      <w:rFonts w:cs="OpenSymbol"/>
    </w:rPr>
  </w:style>
  <w:style w:type="character" w:customStyle="1" w:styleId="ListLabel4">
    <w:name w:val="ListLabel 4"/>
    <w:qFormat/>
    <w:rPr>
      <w:rFonts w:cs="OpenSymbol"/>
    </w:rPr>
  </w:style>
  <w:style w:type="character" w:customStyle="1" w:styleId="ListLabel5">
    <w:name w:val="ListLabel 5"/>
    <w:qFormat/>
    <w:rPr>
      <w:rFonts w:cs="OpenSymbol"/>
    </w:rPr>
  </w:style>
  <w:style w:type="character" w:customStyle="1" w:styleId="ListLabel6">
    <w:name w:val="ListLabel 6"/>
    <w:qFormat/>
    <w:rPr>
      <w:rFonts w:cs="OpenSymbol"/>
    </w:rPr>
  </w:style>
  <w:style w:type="character" w:customStyle="1" w:styleId="ListLabel7">
    <w:name w:val="ListLabel 7"/>
    <w:qFormat/>
    <w:rPr>
      <w:rFonts w:cs="OpenSymbol"/>
    </w:rPr>
  </w:style>
  <w:style w:type="character" w:customStyle="1" w:styleId="ListLabel8">
    <w:name w:val="ListLabel 8"/>
    <w:qFormat/>
    <w:rPr>
      <w:rFonts w:cs="OpenSymbol"/>
    </w:rPr>
  </w:style>
  <w:style w:type="character" w:customStyle="1" w:styleId="ListLabel9">
    <w:name w:val="ListLabel 9"/>
    <w:qFormat/>
    <w:rPr>
      <w:rFonts w:cs="OpenSymbol"/>
    </w:rPr>
  </w:style>
  <w:style w:type="character" w:customStyle="1" w:styleId="ListLabel10">
    <w:name w:val="ListLabel 10"/>
    <w:qFormat/>
    <w:rPr>
      <w:rFonts w:cs="OpenSymbol"/>
    </w:rPr>
  </w:style>
  <w:style w:type="character" w:customStyle="1" w:styleId="ListLabel11">
    <w:name w:val="ListLabel 11"/>
    <w:qFormat/>
    <w:rPr>
      <w:rFonts w:cs="OpenSymbol"/>
    </w:rPr>
  </w:style>
  <w:style w:type="character" w:customStyle="1" w:styleId="ListLabel12">
    <w:name w:val="ListLabel 12"/>
    <w:qFormat/>
    <w:rPr>
      <w:u w:val="none"/>
    </w:rPr>
  </w:style>
  <w:style w:type="character" w:customStyle="1" w:styleId="ListLabel13">
    <w:name w:val="ListLabel 13"/>
    <w:qFormat/>
    <w:rPr>
      <w:rFonts w:cs="OpenSymbol"/>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cs="OpenSymbol"/>
    </w:rPr>
  </w:style>
  <w:style w:type="character" w:customStyle="1" w:styleId="ListLabel20">
    <w:name w:val="ListLabel 20"/>
    <w:qFormat/>
    <w:rPr>
      <w:rFonts w:cs="OpenSymbol"/>
    </w:rPr>
  </w:style>
  <w:style w:type="character" w:customStyle="1" w:styleId="ListLabel21">
    <w:name w:val="ListLabel 21"/>
    <w:qFormat/>
    <w:rPr>
      <w:rFonts w:cs="OpenSymbol"/>
    </w:rPr>
  </w:style>
  <w:style w:type="paragraph" w:styleId="Encabezado">
    <w:name w:val="header"/>
    <w:basedOn w:val="Normal"/>
    <w:next w:val="Textoindependiente"/>
    <w:link w:val="EncabezadoCar"/>
    <w:uiPriority w:val="99"/>
    <w:unhideWhenUsed/>
    <w:rsid w:val="002F5CF5"/>
    <w:pPr>
      <w:tabs>
        <w:tab w:val="center" w:pos="4252"/>
        <w:tab w:val="right" w:pos="8504"/>
      </w:tabs>
      <w:spacing w:after="0" w:line="240" w:lineRule="auto"/>
    </w:pPr>
  </w:style>
  <w:style w:type="paragraph" w:styleId="Textoindependiente">
    <w:name w:val="Body Text"/>
    <w:basedOn w:val="Normal"/>
    <w:pPr>
      <w:spacing w:after="140" w:line="288" w:lineRule="auto"/>
    </w:p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style>
  <w:style w:type="paragraph" w:styleId="Textonotaalfinal">
    <w:name w:val="endnote text"/>
    <w:basedOn w:val="Normal"/>
    <w:link w:val="TextonotaalfinalCar"/>
    <w:uiPriority w:val="99"/>
    <w:semiHidden/>
    <w:unhideWhenUsed/>
    <w:qFormat/>
    <w:rsid w:val="00C96A09"/>
    <w:pPr>
      <w:spacing w:after="0" w:line="240" w:lineRule="auto"/>
    </w:pPr>
    <w:rPr>
      <w:sz w:val="20"/>
      <w:szCs w:val="20"/>
    </w:rPr>
  </w:style>
  <w:style w:type="paragraph" w:styleId="Piedepgina">
    <w:name w:val="footer"/>
    <w:basedOn w:val="Normal"/>
    <w:link w:val="PiedepginaCar"/>
    <w:uiPriority w:val="99"/>
    <w:unhideWhenUsed/>
    <w:rsid w:val="002F5CF5"/>
    <w:pPr>
      <w:tabs>
        <w:tab w:val="center" w:pos="4252"/>
        <w:tab w:val="right" w:pos="8504"/>
      </w:tabs>
      <w:spacing w:after="0" w:line="240" w:lineRule="auto"/>
    </w:pPr>
  </w:style>
  <w:style w:type="paragraph" w:styleId="NormalWeb">
    <w:name w:val="Normal (Web)"/>
    <w:basedOn w:val="Normal"/>
    <w:uiPriority w:val="99"/>
    <w:semiHidden/>
    <w:unhideWhenUsed/>
    <w:qFormat/>
    <w:rsid w:val="002F5CF5"/>
    <w:pPr>
      <w:spacing w:beforeAutospacing="1" w:afterAutospacing="1" w:line="240" w:lineRule="auto"/>
    </w:pPr>
    <w:rPr>
      <w:rFonts w:ascii="Times New Roman" w:eastAsiaTheme="minorEastAsia" w:hAnsi="Times New Roman" w:cs="Times New Roman"/>
      <w:sz w:val="24"/>
      <w:szCs w:val="24"/>
      <w:lang w:eastAsia="es-ES"/>
    </w:rPr>
  </w:style>
  <w:style w:type="paragraph" w:styleId="Textocomentario">
    <w:name w:val="annotation text"/>
    <w:basedOn w:val="Normal"/>
    <w:link w:val="TextocomentarioCar"/>
    <w:uiPriority w:val="99"/>
    <w:semiHidden/>
    <w:unhideWhenUsed/>
    <w:qFormat/>
    <w:rsid w:val="003A1B60"/>
    <w:pPr>
      <w:spacing w:line="240" w:lineRule="auto"/>
    </w:pPr>
    <w:rPr>
      <w:sz w:val="20"/>
      <w:szCs w:val="20"/>
    </w:rPr>
  </w:style>
  <w:style w:type="paragraph" w:styleId="Textodeglobo">
    <w:name w:val="Balloon Text"/>
    <w:basedOn w:val="Normal"/>
    <w:link w:val="TextodegloboCar"/>
    <w:uiPriority w:val="99"/>
    <w:semiHidden/>
    <w:unhideWhenUsed/>
    <w:qFormat/>
    <w:rsid w:val="003A1B60"/>
    <w:pPr>
      <w:spacing w:after="0" w:line="240" w:lineRule="auto"/>
    </w:pPr>
    <w:rPr>
      <w:rFonts w:ascii="Segoe UI" w:hAnsi="Segoe UI" w:cs="Segoe UI"/>
      <w:sz w:val="18"/>
      <w:szCs w:val="18"/>
    </w:rPr>
  </w:style>
  <w:style w:type="paragraph" w:customStyle="1" w:styleId="Contenidodelatabla">
    <w:name w:val="Contenido de la tabla"/>
    <w:basedOn w:val="Normal"/>
    <w:qFormat/>
  </w:style>
  <w:style w:type="paragraph" w:customStyle="1" w:styleId="Encabezadodelatabla">
    <w:name w:val="Encabezado de la tabla"/>
    <w:basedOn w:val="Contenidodelatabla"/>
    <w:qFormat/>
  </w:style>
  <w:style w:type="paragraph" w:customStyle="1" w:styleId="Contenidodelmarco">
    <w:name w:val="Contenido del marco"/>
    <w:basedOn w:val="Normal"/>
    <w:qFormat/>
  </w:style>
  <w:style w:type="table" w:styleId="Tablaconcuadrcula">
    <w:name w:val="Table Grid"/>
    <w:basedOn w:val="Tablanormal"/>
    <w:uiPriority w:val="39"/>
    <w:rsid w:val="00275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anderecuperacion.gob.es/como-acceder-a-los-fondos/pertes" TargetMode="External"/><Relationship Id="rId18" Type="http://schemas.openxmlformats.org/officeDocument/2006/relationships/hyperlink" Target="https://planderecuperacion.gob.es/como-acceder-a-los-fondos/perte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landerecuperacion.gob.es/como-acceder-a-los-fondos/pertes" TargetMode="External"/><Relationship Id="rId7" Type="http://schemas.openxmlformats.org/officeDocument/2006/relationships/endnotes" Target="endnotes.xml"/><Relationship Id="rId12" Type="http://schemas.openxmlformats.org/officeDocument/2006/relationships/hyperlink" Target="https://planderecuperacion.gob.es/como-acceder-a-los-fondos/pertes" TargetMode="External"/><Relationship Id="rId17" Type="http://schemas.openxmlformats.org/officeDocument/2006/relationships/hyperlink" Target="https://planderecuperacion.gob.es/como-acceder-a-los-fondos/pertes"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landerecuperacion.gob.es/como-acceder-a-los-fondos/pertes" TargetMode="External"/><Relationship Id="rId20" Type="http://schemas.openxmlformats.org/officeDocument/2006/relationships/hyperlink" Target="https://planderecuperacion.gob.es/como-acceder-a-los-fondos/pert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e.es/buscar/act.php?id=BOE-A-2017-12902"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landerecuperacion.gob.es/como-acceder-a-los-fondos/pertes" TargetMode="External"/><Relationship Id="rId23" Type="http://schemas.openxmlformats.org/officeDocument/2006/relationships/hyperlink" Target="https://www.emvisesa.org/2022/07/25/el-ayuntamiento-de-sevilla-abre-a-traves-de-emvisesa-la-primera-convocatoria-para-desarrollar-un-proyecto-de-viviendas-cooperativas-de-entidades-privadas-con-fines-sociales-en-san-jeronimo/" TargetMode="External"/><Relationship Id="rId10" Type="http://schemas.openxmlformats.org/officeDocument/2006/relationships/hyperlink" Target="https://www.boe.es/buscar/act.php?id=BOE-A-2015-10566" TargetMode="External"/><Relationship Id="rId19" Type="http://schemas.openxmlformats.org/officeDocument/2006/relationships/hyperlink" Target="https://planderecuperacion.gob.es/como-acceder-a-los-fondos/perte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landerecuperacion.gob.es/como-acceder-a-los-fondos/pertes" TargetMode="External"/><Relationship Id="rId22" Type="http://schemas.openxmlformats.org/officeDocument/2006/relationships/hyperlink" Target="https://planderecuperacion.gob.es/como-acceder-a-los-fondos/pertes"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EF422-5DBC-4825-B31E-E08BBE61A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18</Pages>
  <Words>2960</Words>
  <Characters>16285</Characters>
  <Application>Microsoft Office Word</Application>
  <DocSecurity>0</DocSecurity>
  <Lines>135</Lines>
  <Paragraphs>38</Paragraphs>
  <ScaleCrop>false</ScaleCrop>
  <Company/>
  <LinksUpToDate>false</LinksUpToDate>
  <CharactersWithSpaces>19207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docId 42057107EC448937C226AE51DF7B8301</cp:keywords>
  <dc:description/>
  <cp:lastModifiedBy>MedTOWN #1</cp:lastModifiedBy>
  <cp:revision>17</cp:revision>
  <dcterms:created xsi:type="dcterms:W3CDTF">2021-10-05T17:55:00Z</dcterms:created>
  <dcterms:modified xsi:type="dcterms:W3CDTF">2024-01-17T13:19:00Z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